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E" w:rsidRDefault="00B83572" w:rsidP="00B83572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0"/>
          <w:szCs w:val="40"/>
        </w:rPr>
      </w:pPr>
      <w:r w:rsidRPr="00B83572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2022年度</w:t>
      </w:r>
      <w:r w:rsidRPr="00DD6731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南谯</w:t>
      </w:r>
      <w:r w:rsidRPr="00B83572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区</w:t>
      </w:r>
      <w:r w:rsidRPr="00DD6731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面向社会公开招聘编外</w:t>
      </w:r>
      <w:r w:rsidRPr="00B83572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教师</w:t>
      </w:r>
    </w:p>
    <w:p w:rsidR="00B83572" w:rsidRPr="00B83572" w:rsidRDefault="00B83572" w:rsidP="00B83572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0"/>
          <w:szCs w:val="40"/>
        </w:rPr>
      </w:pPr>
      <w:r w:rsidRPr="00B83572">
        <w:rPr>
          <w:rFonts w:ascii="方正小标宋简体" w:eastAsia="方正小标宋简体" w:hAnsi="微软雅黑" w:cs="宋体" w:hint="eastAsia"/>
          <w:color w:val="333333"/>
          <w:kern w:val="36"/>
          <w:sz w:val="40"/>
          <w:szCs w:val="40"/>
        </w:rPr>
        <w:t>疫情防控告知书</w:t>
      </w:r>
    </w:p>
    <w:p w:rsidR="00B83572" w:rsidRDefault="00B83572" w:rsidP="00783274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color w:val="333333"/>
          <w:sz w:val="32"/>
          <w:szCs w:val="32"/>
        </w:rPr>
      </w:pP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各位考生：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2022年度南谯区面向社会公开招聘编外教师资格复审及专业测试将于8月中旬在南谯区举行（具体时间另行通知），为保障考生和考试工作人员的生命安全和身体健康，确保本次</w:t>
      </w:r>
      <w:r w:rsidR="00783274" w:rsidRPr="00DD6731">
        <w:rPr>
          <w:rFonts w:ascii="仿宋_GB2312" w:eastAsia="仿宋_GB2312" w:hint="eastAsia"/>
          <w:color w:val="333333"/>
          <w:sz w:val="32"/>
          <w:szCs w:val="32"/>
        </w:rPr>
        <w:t>招聘工作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安全平稳顺利，现将疫情防控有关要求和注意事项提示如下：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一、</w:t>
      </w:r>
      <w:r w:rsidR="00557C20" w:rsidRPr="00DD6731">
        <w:rPr>
          <w:rFonts w:ascii="仿宋_GB2312" w:eastAsia="仿宋_GB2312" w:hint="eastAsia"/>
          <w:color w:val="333333"/>
          <w:sz w:val="32"/>
          <w:szCs w:val="32"/>
        </w:rPr>
        <w:t>现场资格复审及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专业测试</w:t>
      </w:r>
      <w:r w:rsidR="00557C20" w:rsidRPr="00DD6731">
        <w:rPr>
          <w:rFonts w:ascii="仿宋_GB2312" w:eastAsia="仿宋_GB2312" w:hint="eastAsia"/>
          <w:color w:val="333333"/>
          <w:sz w:val="32"/>
          <w:szCs w:val="32"/>
        </w:rPr>
        <w:t>具体时间、地点将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在</w:t>
      </w:r>
      <w:r w:rsidR="00557C20" w:rsidRPr="00DD6731">
        <w:rPr>
          <w:rFonts w:ascii="仿宋_GB2312" w:eastAsia="仿宋_GB2312" w:hint="eastAsia"/>
          <w:color w:val="333333"/>
          <w:sz w:val="32"/>
          <w:szCs w:val="32"/>
        </w:rPr>
        <w:t>南谯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区人民政府网站发布，请</w:t>
      </w:r>
      <w:r w:rsidR="00557C20" w:rsidRPr="00DD6731">
        <w:rPr>
          <w:rFonts w:ascii="仿宋_GB2312" w:eastAsia="仿宋_GB2312" w:hint="eastAsia"/>
          <w:color w:val="333333"/>
          <w:sz w:val="32"/>
          <w:szCs w:val="32"/>
        </w:rPr>
        <w:t>考生及时关注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，未按时到指定地点报到人员视为自动放弃。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二、</w:t>
      </w:r>
      <w:r w:rsidR="00D92D53" w:rsidRPr="00DD6731">
        <w:rPr>
          <w:rFonts w:ascii="仿宋_GB2312" w:eastAsia="仿宋_GB2312" w:hint="eastAsia"/>
          <w:color w:val="333333"/>
          <w:sz w:val="32"/>
          <w:szCs w:val="32"/>
        </w:rPr>
        <w:t>现场资格复审及专业测试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DC3DBE" w:rsidRPr="00DD6731" w:rsidRDefault="00D92D53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现场资格复审及专业测试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前7天有疫情高风险地区旅居史的考生，需7天集中隔离医学观察，并提供离开疫情发生地后第1、2、3、5、7天核酸检测阴性证明方可参加专业测试。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DC3DBE" w:rsidRPr="00DD6731" w:rsidRDefault="00D92D53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现场资格复审及专业测试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前7天有疫情中风险地区旅居史的考生，需7天居家隔离医学观察，并提供离开疫情发生地后第1、4、7天核酸检测阴性证明方可参加专业测试。</w:t>
      </w:r>
    </w:p>
    <w:p w:rsidR="00DC3DBE" w:rsidRPr="00DD6731" w:rsidRDefault="00D92D53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lastRenderedPageBreak/>
        <w:t>现场资格复审及专业测试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前7天有疫情发生地所在县（区）旅居史的考生，需提供离开疫情发生地所在县（区）后3天2次核酸检测阴性证明（2次采样至少间隔24小时）方可参加专业测试。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三、考生在</w:t>
      </w:r>
      <w:r w:rsidR="00D92D53" w:rsidRPr="00DD6731">
        <w:rPr>
          <w:rFonts w:ascii="仿宋_GB2312" w:eastAsia="仿宋_GB2312" w:hint="eastAsia"/>
          <w:color w:val="333333"/>
          <w:sz w:val="32"/>
          <w:szCs w:val="32"/>
        </w:rPr>
        <w:t>参加现场资格复审及专业测试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报到时，提供本人亲笔签名的《专业测试工作疫情防控须知暨承诺书》，提供专业测试前48小时内核酸检测阴性证明（纸质或电子版），出示“安康码”“通信大数据行程卡”，应主动配合工作人员接受体温检测，如发现体温超过37.3℃，考生不得参加</w:t>
      </w:r>
      <w:r w:rsidR="00D92D53" w:rsidRPr="00DD6731">
        <w:rPr>
          <w:rFonts w:ascii="仿宋_GB2312" w:eastAsia="仿宋_GB2312" w:hint="eastAsia"/>
          <w:color w:val="333333"/>
          <w:sz w:val="32"/>
          <w:szCs w:val="32"/>
        </w:rPr>
        <w:t>现场资格复审或专业测试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。</w:t>
      </w:r>
      <w:r w:rsidR="00D92D53" w:rsidRPr="00DD6731"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考生48小时内核酸检测阴性证明（纸质或电子版，以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进入招聘工作现场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开始时间计算）。如考生无法出具专业测试前48小时内核酸检测阴性证明、只能出具核酸标本采样时间但无核酸检测阴性证明、只能出具核酸采样收费票据但无核酸检测阴性证明等均不能进入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资格复审或专业测试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现场。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四、凡隐瞒或谎报旅居史、接触史、健康状况等疫情防控重点信息，不配合工作人员进行防疫检测、询问、排查、送诊等造成严重后果的，将按照疫情防控相关规定严肃处理。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特别提醒，有下列情形之一者不得进入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资格复审或专业测试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现场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（以下简称现场）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1.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“安康码”非绿码且风险未排除的考生；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2.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无法提供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来现场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前48小时内核酸检测阴性证明（纸质或电子版）的考生；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3.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经现场防疫人员确认体温异常(≥37.3℃)或呼吸道有异常症状且未排除风险的考生；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4.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来现场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前10天内有国(境)外旅居史，尚未完成隔离医学观察等健康管理的考生；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5.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来现场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前7天内疫情发生地区来（返）滁人员，尚未完成隔离医学观察等健康管理的考生；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6.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新冠肺炎确诊病例、疑似病例和无症状感染者的密切接触者或次密接者，尚未完成隔离医学观察等健康管理的考生；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7.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已治愈出院的确诊病例和已解除集中隔离医学观察的无症状感染者，尚在医学观察期内的考生；</w:t>
      </w:r>
    </w:p>
    <w:p w:rsidR="00DC3DBE" w:rsidRPr="00DD6731" w:rsidRDefault="00CF7AA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8.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根据属地防疫管控政策不宜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来现场</w:t>
      </w:r>
      <w:r w:rsidR="00DC3DBE" w:rsidRPr="00DD6731">
        <w:rPr>
          <w:rFonts w:ascii="仿宋_GB2312" w:eastAsia="仿宋_GB2312" w:hint="eastAsia"/>
          <w:color w:val="333333"/>
          <w:sz w:val="32"/>
          <w:szCs w:val="32"/>
        </w:rPr>
        <w:t>的考生。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如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来现场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前出现新的疫情变化，将通过“</w:t>
      </w:r>
      <w:r w:rsidR="009E7D30" w:rsidRPr="00DD6731">
        <w:rPr>
          <w:rFonts w:ascii="仿宋_GB2312" w:eastAsia="仿宋_GB2312" w:hint="eastAsia"/>
          <w:color w:val="333333"/>
          <w:sz w:val="32"/>
          <w:szCs w:val="32"/>
        </w:rPr>
        <w:t>南谯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区人民政府”网站及时发布，明确疫情防控要求。</w:t>
      </w:r>
    </w:p>
    <w:p w:rsidR="00ED714A" w:rsidRDefault="00ED714A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ED714A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咨询电话：</w:t>
      </w:r>
      <w:r w:rsidR="008B138F" w:rsidRPr="00DD6731">
        <w:rPr>
          <w:rFonts w:ascii="仿宋_GB2312" w:eastAsia="仿宋_GB2312" w:hint="eastAsia"/>
          <w:color w:val="000000" w:themeColor="text1"/>
          <w:sz w:val="32"/>
          <w:szCs w:val="32"/>
        </w:rPr>
        <w:t xml:space="preserve">0550-3721299 </w:t>
      </w:r>
    </w:p>
    <w:p w:rsidR="00DC3DBE" w:rsidRPr="00DD6731" w:rsidRDefault="008B138F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Chars="650" w:firstLine="2080"/>
        <w:jc w:val="both"/>
        <w:rPr>
          <w:rFonts w:ascii="仿宋_GB2312" w:eastAsia="仿宋_GB2312"/>
          <w:color w:val="333333"/>
          <w:sz w:val="32"/>
          <w:szCs w:val="32"/>
        </w:rPr>
      </w:pPr>
      <w:r w:rsidRPr="00DD6731">
        <w:rPr>
          <w:rFonts w:ascii="仿宋_GB2312" w:eastAsia="仿宋_GB2312" w:hint="eastAsia"/>
          <w:color w:val="000000" w:themeColor="text1"/>
          <w:sz w:val="32"/>
          <w:szCs w:val="32"/>
        </w:rPr>
        <w:t>0550-3113221</w:t>
      </w:r>
    </w:p>
    <w:p w:rsidR="00DC3DBE" w:rsidRPr="00DD6731" w:rsidRDefault="00DC3DBE" w:rsidP="00B025B2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仿宋_GB2312" w:eastAsia="仿宋_GB2312"/>
          <w:color w:val="333333"/>
          <w:sz w:val="32"/>
          <w:szCs w:val="32"/>
        </w:rPr>
      </w:pPr>
    </w:p>
    <w:p w:rsidR="00191F00" w:rsidRPr="00DD6731" w:rsidRDefault="00DC3DBE" w:rsidP="00B025B2">
      <w:pPr>
        <w:pStyle w:val="a3"/>
        <w:spacing w:before="0" w:beforeAutospacing="0" w:after="0" w:afterAutospacing="0" w:line="560" w:lineRule="exact"/>
        <w:ind w:leftChars="850" w:left="2905" w:hangingChars="350" w:hanging="1120"/>
        <w:jc w:val="both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Pr="00DD6731">
        <w:rPr>
          <w:rFonts w:ascii="仿宋_GB2312" w:eastAsia="仿宋_GB2312" w:hint="eastAsia"/>
          <w:color w:val="333333"/>
          <w:sz w:val="32"/>
          <w:szCs w:val="32"/>
        </w:rPr>
        <w:t> </w:t>
      </w:r>
      <w:r w:rsidR="00191F00" w:rsidRPr="00DD6731">
        <w:rPr>
          <w:rFonts w:ascii="仿宋_GB2312" w:eastAsia="仿宋_GB2312" w:hint="eastAsia"/>
          <w:color w:val="000000" w:themeColor="text1"/>
          <w:sz w:val="32"/>
          <w:szCs w:val="32"/>
        </w:rPr>
        <w:t>滁州市南</w:t>
      </w:r>
      <w:r w:rsidR="00191F00" w:rsidRPr="00DD6731">
        <w:rPr>
          <w:rFonts w:ascii="仿宋_GB2312" w:hint="eastAsia"/>
          <w:color w:val="000000" w:themeColor="text1"/>
          <w:sz w:val="32"/>
          <w:szCs w:val="32"/>
        </w:rPr>
        <w:t>玥</w:t>
      </w:r>
      <w:r w:rsidR="00191F00" w:rsidRPr="00DD6731">
        <w:rPr>
          <w:rFonts w:ascii="仿宋_GB2312" w:eastAsia="仿宋_GB2312" w:hint="eastAsia"/>
          <w:color w:val="000000" w:themeColor="text1"/>
          <w:sz w:val="32"/>
          <w:szCs w:val="32"/>
        </w:rPr>
        <w:t>劳务服务有限公司</w:t>
      </w:r>
    </w:p>
    <w:p w:rsidR="00191F00" w:rsidRPr="00DD6731" w:rsidRDefault="00191F00" w:rsidP="00B025B2">
      <w:pPr>
        <w:pStyle w:val="a3"/>
        <w:spacing w:before="0" w:beforeAutospacing="0" w:after="0" w:afterAutospacing="0" w:line="560" w:lineRule="exact"/>
        <w:ind w:firstLineChars="900" w:firstLine="288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DD673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滁州市南谯区教育体育局</w:t>
      </w:r>
    </w:p>
    <w:p w:rsidR="00EF6769" w:rsidRPr="00DD6731" w:rsidRDefault="00191F00" w:rsidP="00B025B2">
      <w:pPr>
        <w:pStyle w:val="a3"/>
        <w:spacing w:before="0" w:beforeAutospacing="0" w:after="0" w:afterAutospacing="0" w:line="560" w:lineRule="exact"/>
        <w:ind w:right="540" w:firstLineChars="1200" w:firstLine="3840"/>
        <w:rPr>
          <w:rFonts w:ascii="仿宋_GB2312" w:eastAsia="仿宋_GB2312"/>
          <w:sz w:val="32"/>
          <w:szCs w:val="32"/>
        </w:rPr>
      </w:pPr>
      <w:r w:rsidRPr="00DD6731">
        <w:rPr>
          <w:rFonts w:ascii="仿宋_GB2312" w:eastAsia="仿宋_GB2312" w:hint="eastAsia"/>
          <w:color w:val="333333"/>
          <w:sz w:val="32"/>
          <w:szCs w:val="32"/>
        </w:rPr>
        <w:t>2022年8月8日</w:t>
      </w:r>
    </w:p>
    <w:sectPr w:rsidR="00EF6769" w:rsidRPr="00DD6731" w:rsidSect="00EF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E2" w:rsidRDefault="004709E2" w:rsidP="00ED714A">
      <w:pPr>
        <w:spacing w:line="240" w:lineRule="auto"/>
      </w:pPr>
      <w:r>
        <w:separator/>
      </w:r>
    </w:p>
  </w:endnote>
  <w:endnote w:type="continuationSeparator" w:id="0">
    <w:p w:rsidR="004709E2" w:rsidRDefault="004709E2" w:rsidP="00ED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E2" w:rsidRDefault="004709E2" w:rsidP="00ED714A">
      <w:pPr>
        <w:spacing w:line="240" w:lineRule="auto"/>
      </w:pPr>
      <w:r>
        <w:separator/>
      </w:r>
    </w:p>
  </w:footnote>
  <w:footnote w:type="continuationSeparator" w:id="0">
    <w:p w:rsidR="004709E2" w:rsidRDefault="004709E2" w:rsidP="00ED71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DBE"/>
    <w:rsid w:val="00191F00"/>
    <w:rsid w:val="002F3CBB"/>
    <w:rsid w:val="00355E69"/>
    <w:rsid w:val="004709E2"/>
    <w:rsid w:val="00557C20"/>
    <w:rsid w:val="0058640F"/>
    <w:rsid w:val="005D2EF2"/>
    <w:rsid w:val="006527A6"/>
    <w:rsid w:val="006628B5"/>
    <w:rsid w:val="00783274"/>
    <w:rsid w:val="007F191A"/>
    <w:rsid w:val="008B138F"/>
    <w:rsid w:val="009E7D30"/>
    <w:rsid w:val="00B025B2"/>
    <w:rsid w:val="00B83572"/>
    <w:rsid w:val="00CD755D"/>
    <w:rsid w:val="00CF7AAE"/>
    <w:rsid w:val="00D503BC"/>
    <w:rsid w:val="00D92D53"/>
    <w:rsid w:val="00DC3DBE"/>
    <w:rsid w:val="00DD6731"/>
    <w:rsid w:val="00EA7A76"/>
    <w:rsid w:val="00ED714A"/>
    <w:rsid w:val="00EF6769"/>
    <w:rsid w:val="00F9329C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9"/>
    <w:pPr>
      <w:widowControl w:val="0"/>
    </w:pPr>
  </w:style>
  <w:style w:type="paragraph" w:styleId="1">
    <w:name w:val="heading 1"/>
    <w:basedOn w:val="a"/>
    <w:link w:val="1Char"/>
    <w:uiPriority w:val="9"/>
    <w:qFormat/>
    <w:rsid w:val="00B83572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D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8357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ED7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71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71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7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2022-08-08T08:03:00Z</dcterms:created>
  <dcterms:modified xsi:type="dcterms:W3CDTF">2022-08-08T08:03:00Z</dcterms:modified>
</cp:coreProperties>
</file>