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南谯区卫健委2021年度政府</w:t>
      </w:r>
      <w:r>
        <w:rPr>
          <w:rFonts w:hint="eastAsia" w:ascii="宋体" w:hAnsi="宋体" w:eastAsia="宋体" w:cs="宋体"/>
          <w:sz w:val="28"/>
          <w:szCs w:val="28"/>
        </w:rPr>
        <w:t>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本报告是《中华人民共和国政府信息公开条例》确立的法定制度安排，按照《中华人民共和国政府信息公开工作年度报告格式》要求，由南谯区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卫生健康委员会</w:t>
      </w:r>
      <w:r>
        <w:rPr>
          <w:rFonts w:hint="eastAsia" w:ascii="宋体" w:hAnsi="宋体" w:eastAsia="宋体" w:cs="宋体"/>
          <w:sz w:val="28"/>
          <w:szCs w:val="28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2021年1月1日起至2021年12月31日止。本报告以网上公开的形式进行公布。如对本报告有任何疑问，请与南谯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卫生健康委员会</w:t>
      </w:r>
      <w:r>
        <w:rPr>
          <w:rFonts w:hint="eastAsia" w:ascii="宋体" w:hAnsi="宋体" w:eastAsia="宋体" w:cs="宋体"/>
          <w:sz w:val="28"/>
          <w:szCs w:val="28"/>
        </w:rPr>
        <w:t>联系（地址：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南谯政务新区6号楼311</w:t>
      </w:r>
      <w:r>
        <w:rPr>
          <w:rFonts w:hint="eastAsia" w:ascii="宋体" w:hAnsi="宋体" w:eastAsia="宋体" w:cs="宋体"/>
          <w:sz w:val="28"/>
          <w:szCs w:val="28"/>
        </w:rPr>
        <w:t>，电话: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0550-3802831</w:t>
      </w:r>
      <w:r>
        <w:rPr>
          <w:rFonts w:hint="eastAsia" w:ascii="宋体" w:hAnsi="宋体" w:eastAsia="宋体" w:cs="宋体"/>
          <w:sz w:val="28"/>
          <w:szCs w:val="28"/>
        </w:rPr>
        <w:t>，邮箱：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905487998@qq.com</w:t>
      </w:r>
      <w:r>
        <w:rPr>
          <w:rFonts w:hint="eastAsia" w:ascii="宋体" w:hAnsi="宋体" w:eastAsia="宋体" w:cs="宋体"/>
          <w:sz w:val="28"/>
          <w:szCs w:val="28"/>
        </w:rPr>
        <w:t>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主动公开。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在区委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区政府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的正确领导下，区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卫健委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认真贯彻落实《中华人民共和国政府信息公开条例》和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省、市、区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工作部署要求，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持续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推进政府信息公开工作开展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及时公开机构设置情况、基本公共卫生服务信息、疫情防控相关政策、行政权利运行结果等多方面群众关注的信息，全年没有发生卫生健康领域政务信息公开的投诉事件，总体情况良好。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（二）依申请公开。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区卫健委未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收到政府信息公开申请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（三）政府信息管理。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val="en-US" w:eastAsia="zh-CN"/>
        </w:rPr>
        <w:t>一是强化信息发布审核责任。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严格按照“谁公开、谁审查、谁负责”和“ 上网信息不涉密、涉密信息不上网”的保密审查规定，进一步规范政府网站和政务新媒体信息发布审核工作，增强责任意识，明确审核责任，确保信息内容和发布程序严谨规范，维护政府信息的严肃性和权威性。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积极推进卫生健康政策及服务信息公开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完善基本公共卫生服务指南，及时公开相关工作推进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情况，让人民群众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能“一站式”掌握卫生健康惠民服务项目及政策信息，有利于群众进一步明确获取服务的范围、途径、流程等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充分保障了人民群众的知情权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eastAsia="zh-CN"/>
        </w:rPr>
        <w:t>是全面公开行政权力运行结果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，不定期公开监督检查、行政处罚案件和行政审批信息，增强监管威慑力和公信力。202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年，共办理行政许可29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件，行政处罚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65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件，国家“双随机一公开”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抽查结果、每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季度饮用水卫生质量信息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均按要求公开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。把做好建议提案办理工作作为接受人大代表和政协委员监督指导、改进自身工作的重要契机。202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年，共办理人大代表建议办理和政协提案办理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件，均给予及时回复。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是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及时公开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规范性文件。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根据《健康安徽行动实施方案》文件要求，2020年区卫健委牵头组织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公开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了区级规范性文件1件，即：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南谯区卫健委贯彻落实全区“新阶段再出发”动员暨“四个年”行动工作方案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并严格按照“谁起草、谁解读”的原则，做到政策性文件与解读方案、解读材料同步组织、同步审签、同步部署。参照解读格式，深入解读政策制定背景、起草过程、工作目标、主要内容、创新举措和下一步工作部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/>
        <w:ind w:left="0" w:right="0" w:firstLine="56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政府信息公开平台建设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加强组织领导。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始终坚持一把手亲自抓，分管领导具体抓，委班子十分重视政府网站和政务新媒体建设管理工作，认识到位，把政府网站和政务新媒体建设管理工作作为加强机关作风建设，促进业务开展，树立卫生健康部门良好形象的重要举措，同时把该项工作纳入重点工作内容，常抓不懈，稳步推进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明确职责分工。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明确政府网站和政务新媒体建设管理工作的分管领导、责任机构和具体负责人，按照“谁主管谁负责、谁操作谁负责”的原则，确保相关工作落实到人，做到内容更新准确及时，运维管理安全有序，对所发布信息的时效性、真实性、准确性、完整性及安全性具体负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02" w:lineRule="atLeast"/>
        <w:ind w:left="0"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）监督保障。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内部监督，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区卫健委政务公开领导小组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对行政过程中是否按照政务公开要求施政进行监督检查，并对发现的问题提出纠正意见。外部监督，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主动空开监督电话、邮箱等举报渠道，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收集群众反映的问题、提出的意见，并逐条逐项地梳理出来，及时向政务公开领导小组呈报。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二、主动公开政府信息情况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6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本年制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三、收到和处理政府信息公开申请情况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6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四、政府信息公开行政复议、行政诉讼情况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6"/>
        <w:tblW w:w="1189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793"/>
        <w:gridCol w:w="793"/>
        <w:gridCol w:w="793"/>
        <w:gridCol w:w="794"/>
        <w:gridCol w:w="793"/>
        <w:gridCol w:w="793"/>
        <w:gridCol w:w="793"/>
        <w:gridCol w:w="793"/>
        <w:gridCol w:w="794"/>
        <w:gridCol w:w="793"/>
        <w:gridCol w:w="793"/>
        <w:gridCol w:w="793"/>
        <w:gridCol w:w="793"/>
        <w:gridCol w:w="7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39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793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7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7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7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总计</w:t>
            </w:r>
          </w:p>
        </w:tc>
        <w:tc>
          <w:tcPr>
            <w:tcW w:w="39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96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总计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区卫健委在积极开展政府信息公开工作的同时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也清醒地认识到工作上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存在一些不足，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主要存在于以下几个方面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一是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信息来源存在缺口。本年度发布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信息多来源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信息报送员集中收集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各科室未形成产生信息即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主动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报送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高效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互通机制，导致政府信息公开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存在更新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不及时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现象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，不能满足群众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第一时间获取信息的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需要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公开内容不够全面。部门工作、活动相关的报道事后公开多，事前、事中公开少。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群众参与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度低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。受生活习惯、文化氛围等因素影响，群众更多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依靠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基层政务公开公告栏、微信公众号等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途径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了解政务信息，通过专门政务公开网了解政务信息的比例不高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，全年未收到政府信息公开依申请，不能及时、直接地与群众沟通，全面掌握社会意见。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针对工作中存在的问题和不足，我们将主要采取以下措施进行改进：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加强部署，提高认识。通过周例会、政务公开领导小组会议等多种途径强调部署，提高全体干部职工对政府信息公开工作的认识，提升信息发布的敏锐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度，逐渐形成各科室主动报送政府信息的机制。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二是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完善政务工作公开流程，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坚持做到事前、事中、事后公开相补充，长期、定期、即时公开相结合，充分保障了人民群众的知情权、参与权和监督权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三是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强宣传，扩大影响。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通过公众号、线下活动等方式广泛宣传政府网站，引导群众愿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用、会用政府门户网站获取政府信息，提高群众参政、议政的认识。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按照《国务院办公厅关于印发&lt;政府信息公开信息处理费管理办法&gt;的通知》（国办函〔2020〕109号）规定的按</w:t>
      </w:r>
      <w:bookmarkStart w:id="0" w:name="_GoBack"/>
      <w:bookmarkEnd w:id="0"/>
      <w:r>
        <w:rPr>
          <w:rFonts w:hint="eastAsia"/>
          <w:sz w:val="28"/>
          <w:szCs w:val="28"/>
        </w:rPr>
        <w:t>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62E"/>
    <w:multiLevelType w:val="singleLevel"/>
    <w:tmpl w:val="26BE06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2021-10-09T08:52:00Z</dcterms:created>
  <dc:creator>Administrator</dc:creator>
  <cp:lastModifiedBy>张雨婷的iPhone</cp:lastModifiedBy>
  <dcterms:modified xsi:type="dcterms:W3CDTF">2022-01-30T17:20:03Z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2052-11.18.0</vt:lpwstr>
  </property>
  <property fmtid="{D5CDD505-2E9C-101B-9397-08002B2CF9AE}" pid="3" name="ICV">
    <vt:lpwstr>CD5C4440BD75455AA413CC5FD18B1AF5</vt:lpwstr>
  </property>
</Properties>
</file>