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lang w:val="en-US" w:eastAsia="zh-CN"/>
        </w:rPr>
        <w:t>南谯区教育体育局2021年度政府</w:t>
      </w:r>
      <w:r>
        <w:rPr>
          <w:rFonts w:hint="eastAsia" w:ascii="黑体" w:hAnsi="黑体" w:eastAsia="黑体" w:cs="黑体"/>
          <w:color w:val="auto"/>
          <w:sz w:val="44"/>
          <w:szCs w:val="44"/>
        </w:rPr>
        <w:t>信息公开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rPr>
        <w:t>工作年度报告</w:t>
      </w:r>
    </w:p>
    <w:p>
      <w:pPr>
        <w:jc w:val="center"/>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本报告是《中华人民共和国政府信息公开条例》</w:t>
      </w:r>
      <w:r>
        <w:rPr>
          <w:rFonts w:hint="eastAsia" w:ascii="仿宋_GB2312" w:hAnsi="仿宋_GB2312" w:eastAsia="仿宋_GB2312" w:cs="仿宋_GB2312"/>
          <w:i w:val="0"/>
          <w:iCs w:val="0"/>
          <w:caps w:val="0"/>
          <w:color w:val="auto"/>
          <w:spacing w:val="0"/>
          <w:sz w:val="32"/>
          <w:szCs w:val="32"/>
          <w:shd w:val="clear" w:fill="FFFFFF"/>
        </w:rPr>
        <w:t>（以下简称《条例》）</w:t>
      </w:r>
      <w:r>
        <w:rPr>
          <w:rFonts w:hint="eastAsia" w:ascii="仿宋_GB2312" w:hAnsi="仿宋_GB2312" w:eastAsia="仿宋_GB2312" w:cs="仿宋_GB2312"/>
          <w:sz w:val="32"/>
          <w:szCs w:val="32"/>
        </w:rPr>
        <w:t>确立的法定制度安排，按照《中华人民共和国政府信息公开工作年度报告格式》要求，由南谯区</w:t>
      </w:r>
      <w:r>
        <w:rPr>
          <w:rFonts w:hint="eastAsia" w:ascii="仿宋_GB2312" w:hAnsi="仿宋_GB2312" w:eastAsia="仿宋_GB2312" w:cs="仿宋_GB2312"/>
          <w:sz w:val="32"/>
          <w:szCs w:val="32"/>
          <w:lang w:eastAsia="zh-CN"/>
        </w:rPr>
        <w:t>教育体育局</w:t>
      </w:r>
      <w:r>
        <w:rPr>
          <w:rFonts w:hint="eastAsia" w:ascii="仿宋_GB2312" w:hAnsi="仿宋_GB2312" w:eastAsia="仿宋_GB2312" w:cs="仿宋_GB2312"/>
          <w:sz w:val="32"/>
          <w:szCs w:val="32"/>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2021年1月1日起至2021年12月31日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本报告以网上公开的形式进行公布。如对本报告有任何疑问，</w:t>
      </w:r>
      <w:r>
        <w:rPr>
          <w:rFonts w:hint="eastAsia" w:ascii="仿宋_GB2312" w:hAnsi="仿宋_GB2312" w:eastAsia="仿宋_GB2312" w:cs="仿宋_GB2312"/>
          <w:color w:val="auto"/>
          <w:sz w:val="32"/>
          <w:szCs w:val="32"/>
        </w:rPr>
        <w:t>请与滁州市南谯区教育体育局政府信息公开办公室联系（</w:t>
      </w:r>
      <w:r>
        <w:rPr>
          <w:rFonts w:hint="eastAsia" w:ascii="仿宋_GB2312" w:hAnsi="仿宋_GB2312" w:eastAsia="仿宋_GB2312" w:cs="仿宋_GB2312"/>
          <w:color w:val="auto"/>
          <w:sz w:val="32"/>
          <w:szCs w:val="32"/>
          <w:lang w:eastAsia="zh-CN"/>
        </w:rPr>
        <w:t>地址：</w:t>
      </w:r>
      <w:r>
        <w:rPr>
          <w:rFonts w:hint="eastAsia" w:ascii="仿宋_GB2312" w:hAnsi="仿宋_GB2312" w:eastAsia="仿宋_GB2312" w:cs="仿宋_GB2312"/>
          <w:color w:val="auto"/>
          <w:sz w:val="32"/>
          <w:szCs w:val="32"/>
        </w:rPr>
        <w:t>南谯区乌衣镇政务新区6号楼，</w:t>
      </w:r>
      <w:r>
        <w:rPr>
          <w:rFonts w:hint="eastAsia" w:ascii="仿宋_GB2312" w:hAnsi="仿宋_GB2312" w:eastAsia="仿宋_GB2312" w:cs="仿宋_GB2312"/>
          <w:color w:val="auto"/>
          <w:sz w:val="32"/>
          <w:szCs w:val="32"/>
          <w:lang w:eastAsia="zh-CN"/>
        </w:rPr>
        <w:t>邮编：</w:t>
      </w:r>
      <w:r>
        <w:rPr>
          <w:rFonts w:hint="eastAsia" w:ascii="仿宋_GB2312" w:hAnsi="仿宋_GB2312" w:eastAsia="仿宋_GB2312" w:cs="仿宋_GB2312"/>
          <w:color w:val="auto"/>
          <w:sz w:val="32"/>
          <w:szCs w:val="32"/>
        </w:rPr>
        <w:t>2390</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，电话：0550-3787881 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"mailto:%E9%82%AE%E7%AE%B1;fzg0569@126.com"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邮箱:fzg0569@126.com</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135" w:leftChars="0" w:firstLine="0" w:firstLineChars="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在</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委、</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政府的正确领导下，</w:t>
      </w:r>
      <w:r>
        <w:rPr>
          <w:rFonts w:hint="eastAsia" w:ascii="仿宋_GB2312" w:hAnsi="仿宋_GB2312" w:eastAsia="仿宋_GB2312" w:cs="仿宋_GB2312"/>
          <w:i w:val="0"/>
          <w:iCs w:val="0"/>
          <w:caps w:val="0"/>
          <w:color w:val="auto"/>
          <w:spacing w:val="0"/>
          <w:sz w:val="32"/>
          <w:szCs w:val="32"/>
          <w:shd w:val="clear" w:fill="FFFFFF"/>
          <w:lang w:eastAsia="zh-CN"/>
        </w:rPr>
        <w:t>南谯区教育体育局</w:t>
      </w:r>
      <w:r>
        <w:rPr>
          <w:rFonts w:hint="eastAsia" w:ascii="仿宋_GB2312" w:hAnsi="仿宋_GB2312" w:eastAsia="仿宋_GB2312" w:cs="仿宋_GB2312"/>
          <w:i w:val="0"/>
          <w:iCs w:val="0"/>
          <w:caps w:val="0"/>
          <w:color w:val="auto"/>
          <w:spacing w:val="0"/>
          <w:sz w:val="32"/>
          <w:szCs w:val="32"/>
          <w:shd w:val="clear" w:fill="FFFFFF"/>
        </w:rPr>
        <w:t>深入贯彻落实《条例》等文件精神，大力推进政府信息公开工作，完善各项规章制度，及时更新政府公开信息，有力推进政府信息公开规范化、制度化。</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主动公开。</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，区教体局</w:t>
      </w:r>
      <w:r>
        <w:rPr>
          <w:rFonts w:hint="eastAsia" w:ascii="仿宋_GB2312" w:hAnsi="仿宋_GB2312" w:eastAsia="仿宋_GB2312" w:cs="仿宋_GB2312"/>
          <w:color w:val="auto"/>
          <w:sz w:val="32"/>
          <w:szCs w:val="32"/>
        </w:rPr>
        <w:t>在政府信息公开网共主动公开政府信息</w:t>
      </w:r>
      <w:r>
        <w:rPr>
          <w:rFonts w:hint="eastAsia" w:ascii="仿宋_GB2312" w:hAnsi="仿宋_GB2312" w:eastAsia="仿宋_GB2312" w:cs="仿宋_GB2312"/>
          <w:color w:val="auto"/>
          <w:sz w:val="32"/>
          <w:szCs w:val="32"/>
          <w:lang w:val="en-US" w:eastAsia="zh-CN"/>
        </w:rPr>
        <w:t>544</w:t>
      </w:r>
      <w:r>
        <w:rPr>
          <w:rFonts w:hint="eastAsia" w:ascii="仿宋_GB2312" w:hAnsi="仿宋_GB2312" w:eastAsia="仿宋_GB2312" w:cs="仿宋_GB2312"/>
          <w:color w:val="auto"/>
          <w:sz w:val="32"/>
          <w:szCs w:val="32"/>
        </w:rPr>
        <w:t>条，其中</w:t>
      </w:r>
      <w:r>
        <w:rPr>
          <w:rFonts w:hint="eastAsia" w:ascii="仿宋_GB2312" w:hAnsi="仿宋_GB2312" w:eastAsia="仿宋_GB2312" w:cs="仿宋_GB2312"/>
          <w:color w:val="auto"/>
          <w:sz w:val="32"/>
          <w:szCs w:val="32"/>
          <w:lang w:eastAsia="zh-CN"/>
        </w:rPr>
        <w:t>义务教育</w:t>
      </w:r>
      <w:r>
        <w:rPr>
          <w:rFonts w:hint="eastAsia" w:ascii="仿宋_GB2312" w:hAnsi="仿宋_GB2312" w:eastAsia="仿宋_GB2312" w:cs="仿宋_GB2312"/>
          <w:color w:val="auto"/>
          <w:sz w:val="32"/>
          <w:szCs w:val="32"/>
        </w:rPr>
        <w:t>重点领域信息公开专栏公开</w:t>
      </w:r>
      <w:r>
        <w:rPr>
          <w:rFonts w:hint="eastAsia" w:ascii="仿宋_GB2312" w:hAnsi="仿宋_GB2312" w:eastAsia="仿宋_GB2312" w:cs="仿宋_GB2312"/>
          <w:color w:val="auto"/>
          <w:sz w:val="32"/>
          <w:szCs w:val="32"/>
          <w:lang w:val="en-US" w:eastAsia="zh-CN"/>
        </w:rPr>
        <w:t>349条</w:t>
      </w:r>
      <w:r>
        <w:rPr>
          <w:rFonts w:hint="eastAsia" w:ascii="仿宋_GB2312" w:hAnsi="仿宋_GB2312" w:eastAsia="仿宋_GB2312" w:cs="仿宋_GB2312"/>
          <w:color w:val="auto"/>
          <w:sz w:val="32"/>
          <w:szCs w:val="32"/>
        </w:rPr>
        <w:t>，政府信息网站公开</w:t>
      </w:r>
      <w:r>
        <w:rPr>
          <w:rFonts w:hint="eastAsia" w:ascii="仿宋_GB2312" w:hAnsi="仿宋_GB2312" w:eastAsia="仿宋_GB2312" w:cs="仿宋_GB2312"/>
          <w:color w:val="auto"/>
          <w:sz w:val="32"/>
          <w:szCs w:val="32"/>
          <w:lang w:val="en-US" w:eastAsia="zh-CN"/>
        </w:rPr>
        <w:t>195</w:t>
      </w:r>
      <w:r>
        <w:rPr>
          <w:rFonts w:hint="eastAsia" w:ascii="仿宋_GB2312" w:hAnsi="仿宋_GB2312" w:eastAsia="仿宋_GB2312" w:cs="仿宋_GB2312"/>
          <w:color w:val="auto"/>
          <w:sz w:val="32"/>
          <w:szCs w:val="32"/>
        </w:rPr>
        <w:t>条，其中“政策法规”</w:t>
      </w:r>
      <w:r>
        <w:rPr>
          <w:rFonts w:hint="eastAsia" w:ascii="仿宋_GB2312" w:hAnsi="仿宋_GB2312" w:eastAsia="仿宋_GB2312" w:cs="仿宋_GB2312"/>
          <w:color w:val="auto"/>
          <w:sz w:val="32"/>
          <w:szCs w:val="32"/>
          <w:lang w:val="en-US" w:eastAsia="zh-CN"/>
        </w:rPr>
        <w:t>19件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重大</w:t>
      </w:r>
      <w:r>
        <w:rPr>
          <w:rFonts w:hint="eastAsia" w:ascii="仿宋_GB2312" w:hAnsi="仿宋_GB2312" w:eastAsia="仿宋_GB2312" w:cs="仿宋_GB2312"/>
          <w:color w:val="auto"/>
          <w:sz w:val="32"/>
          <w:szCs w:val="32"/>
        </w:rPr>
        <w:t>决策</w:t>
      </w:r>
      <w:r>
        <w:rPr>
          <w:rFonts w:hint="eastAsia" w:ascii="仿宋_GB2312" w:hAnsi="仿宋_GB2312" w:eastAsia="仿宋_GB2312" w:cs="仿宋_GB2312"/>
          <w:color w:val="auto"/>
          <w:sz w:val="32"/>
          <w:szCs w:val="32"/>
          <w:lang w:eastAsia="zh-CN"/>
        </w:rPr>
        <w:t>预公开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3件</w:t>
      </w:r>
      <w:r>
        <w:rPr>
          <w:rFonts w:hint="eastAsia" w:ascii="仿宋_GB2312" w:hAnsi="仿宋_GB2312" w:eastAsia="仿宋_GB2312" w:cs="仿宋_GB2312"/>
          <w:color w:val="auto"/>
          <w:sz w:val="32"/>
          <w:szCs w:val="32"/>
        </w:rPr>
        <w:t>，“人大、政协代表政协委员提案办理”</w:t>
      </w:r>
      <w:r>
        <w:rPr>
          <w:rFonts w:hint="eastAsia" w:ascii="仿宋_GB2312" w:hAnsi="仿宋_GB2312" w:eastAsia="仿宋_GB2312" w:cs="仿宋_GB2312"/>
          <w:color w:val="auto"/>
          <w:sz w:val="32"/>
          <w:szCs w:val="32"/>
          <w:lang w:val="en-US" w:eastAsia="zh-CN"/>
        </w:rPr>
        <w:t>10件</w:t>
      </w:r>
      <w:r>
        <w:rPr>
          <w:rFonts w:hint="eastAsia" w:ascii="仿宋_GB2312" w:hAnsi="仿宋_GB2312" w:eastAsia="仿宋_GB2312" w:cs="仿宋_GB2312"/>
          <w:color w:val="auto"/>
          <w:sz w:val="32"/>
          <w:szCs w:val="32"/>
        </w:rPr>
        <w:t>，“财政预决算”</w:t>
      </w:r>
      <w:r>
        <w:rPr>
          <w:rFonts w:hint="eastAsia" w:ascii="仿宋_GB2312" w:hAnsi="仿宋_GB2312" w:eastAsia="仿宋_GB2312" w:cs="仿宋_GB2312"/>
          <w:color w:val="auto"/>
          <w:sz w:val="32"/>
          <w:szCs w:val="32"/>
          <w:lang w:val="en-US" w:eastAsia="zh-CN"/>
        </w:rPr>
        <w:t>2条</w:t>
      </w:r>
      <w:r>
        <w:rPr>
          <w:rFonts w:hint="eastAsia" w:ascii="仿宋_GB2312" w:hAnsi="仿宋_GB2312" w:eastAsia="仿宋_GB2312" w:cs="仿宋_GB2312"/>
          <w:color w:val="auto"/>
          <w:sz w:val="32"/>
          <w:szCs w:val="32"/>
        </w:rPr>
        <w:t>，“应急管理”</w:t>
      </w:r>
      <w:r>
        <w:rPr>
          <w:rFonts w:hint="eastAsia" w:ascii="仿宋_GB2312" w:hAnsi="仿宋_GB2312" w:eastAsia="仿宋_GB2312" w:cs="仿宋_GB2312"/>
          <w:color w:val="auto"/>
          <w:sz w:val="32"/>
          <w:szCs w:val="32"/>
          <w:lang w:val="en-US" w:eastAsia="zh-CN"/>
        </w:rPr>
        <w:t>32条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政策解读”</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回应关切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行政许可</w:t>
      </w:r>
      <w:r>
        <w:rPr>
          <w:rFonts w:hint="eastAsia" w:ascii="仿宋_GB2312" w:hAnsi="仿宋_GB2312" w:eastAsia="仿宋_GB2312" w:cs="仿宋_GB2312"/>
          <w:color w:val="auto"/>
          <w:sz w:val="32"/>
          <w:szCs w:val="32"/>
          <w:lang w:val="en-US" w:eastAsia="zh-CN"/>
        </w:rPr>
        <w:t>4件，</w:t>
      </w:r>
      <w:r>
        <w:rPr>
          <w:rFonts w:hint="eastAsia" w:ascii="仿宋_GB2312" w:hAnsi="仿宋_GB2312" w:eastAsia="仿宋_GB2312" w:cs="仿宋_GB2312"/>
          <w:color w:val="auto"/>
          <w:sz w:val="32"/>
          <w:szCs w:val="32"/>
        </w:rPr>
        <w:t>“监督保障”</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条，“规范性文件立改废”0条，接收和办理区长信箱和部门信箱共</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条，全部做到有信</w:t>
      </w:r>
      <w:r>
        <w:rPr>
          <w:rFonts w:hint="eastAsia" w:ascii="仿宋_GB2312" w:hAnsi="仿宋_GB2312" w:eastAsia="仿宋_GB2312" w:cs="仿宋_GB2312"/>
          <w:color w:val="auto"/>
          <w:sz w:val="32"/>
          <w:szCs w:val="32"/>
          <w:lang w:eastAsia="zh-CN"/>
        </w:rPr>
        <w:t>必</w:t>
      </w:r>
      <w:r>
        <w:rPr>
          <w:rFonts w:hint="eastAsia" w:ascii="仿宋_GB2312" w:hAnsi="仿宋_GB2312" w:eastAsia="仿宋_GB2312" w:cs="仿宋_GB2312"/>
          <w:color w:val="auto"/>
          <w:sz w:val="32"/>
          <w:szCs w:val="32"/>
        </w:rPr>
        <w:t>看、有问必</w:t>
      </w:r>
      <w:r>
        <w:rPr>
          <w:rFonts w:hint="eastAsia" w:ascii="仿宋_GB2312" w:hAnsi="仿宋_GB2312" w:eastAsia="仿宋_GB2312" w:cs="仿宋_GB2312"/>
          <w:color w:val="auto"/>
          <w:sz w:val="32"/>
          <w:szCs w:val="32"/>
          <w:lang w:eastAsia="zh-CN"/>
        </w:rPr>
        <w:t>回</w:t>
      </w:r>
      <w:r>
        <w:rPr>
          <w:rFonts w:hint="eastAsia" w:ascii="仿宋_GB2312" w:hAnsi="仿宋_GB2312" w:eastAsia="仿宋_GB2312" w:cs="仿宋_GB2312"/>
          <w:color w:val="auto"/>
          <w:sz w:val="32"/>
          <w:szCs w:val="32"/>
        </w:rPr>
        <w:t>，事事有回应。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（二）依申请公开。</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我局收到依申请公开信息1条，</w:t>
      </w:r>
      <w:r>
        <w:rPr>
          <w:rFonts w:hint="eastAsia" w:ascii="仿宋_GB2312" w:hAnsi="仿宋_GB2312" w:eastAsia="仿宋_GB2312" w:cs="仿宋_GB2312"/>
          <w:i w:val="0"/>
          <w:iCs w:val="0"/>
          <w:caps w:val="0"/>
          <w:color w:val="auto"/>
          <w:spacing w:val="0"/>
          <w:sz w:val="32"/>
          <w:szCs w:val="32"/>
          <w:shd w:val="clear" w:fill="FFFFFF"/>
        </w:rPr>
        <w:t>依据相关规定、按程序要求</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在规定时限内予以答复，</w:t>
      </w:r>
      <w:r>
        <w:rPr>
          <w:rFonts w:hint="eastAsia" w:ascii="仿宋_GB2312" w:hAnsi="仿宋_GB2312" w:eastAsia="仿宋_GB2312" w:cs="仿宋_GB2312"/>
          <w:i w:val="0"/>
          <w:iCs w:val="0"/>
          <w:caps w:val="0"/>
          <w:color w:val="auto"/>
          <w:spacing w:val="0"/>
          <w:sz w:val="32"/>
          <w:szCs w:val="32"/>
          <w:shd w:val="clear" w:fill="FFFFFF"/>
          <w:lang w:eastAsia="zh-CN"/>
        </w:rPr>
        <w:t>未</w:t>
      </w:r>
      <w:r>
        <w:rPr>
          <w:rFonts w:hint="eastAsia" w:ascii="仿宋_GB2312" w:hAnsi="仿宋_GB2312" w:eastAsia="仿宋_GB2312" w:cs="仿宋_GB2312"/>
          <w:i w:val="0"/>
          <w:iCs w:val="0"/>
          <w:caps w:val="0"/>
          <w:color w:val="auto"/>
          <w:spacing w:val="0"/>
          <w:sz w:val="32"/>
          <w:szCs w:val="32"/>
          <w:shd w:val="clear" w:fill="FFFFFF"/>
        </w:rPr>
        <w:t>收取涉及依申请公开的相关费用。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rPr>
        <w:t>政府信息管理。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严格执行《条例》信息公开工作制度，</w:t>
      </w:r>
      <w:r>
        <w:rPr>
          <w:rFonts w:hint="eastAsia" w:ascii="仿宋_GB2312" w:hAnsi="仿宋_GB2312" w:eastAsia="仿宋_GB2312" w:cs="仿宋_GB2312"/>
          <w:color w:val="auto"/>
          <w:sz w:val="32"/>
          <w:szCs w:val="32"/>
        </w:rPr>
        <w:t>我局按照“先审查，后公开”、“一事一审”原则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建立健全政府信息公开审查机制，在政府信息公开前依法依规进行严格审查，加强信息发布的源头管理，在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政务公开办要求指导下，进一步加强对公民身份信息、敏感词等内容的审查，全年未发生发生信息发布不实、影响社会稳定等问题。</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政府信息公开平台建设</w:t>
      </w:r>
      <w:r>
        <w:rPr>
          <w:rFonts w:hint="eastAsia" w:ascii="仿宋_GB2312" w:hAnsi="仿宋_GB2312" w:eastAsia="仿宋_GB2312" w:cs="仿宋_GB2312"/>
          <w:b/>
          <w:bCs/>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rPr>
        <w:t>根据</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"http://www.cznq.gov.cn/public/content/1109802008" \t "http://59.203.54.81:8002/_blank"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国务院办公厅关于印发2021年政务公开工作要点的通知</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i w:val="0"/>
          <w:iCs w:val="0"/>
          <w:caps w:val="0"/>
          <w:color w:val="auto"/>
          <w:spacing w:val="0"/>
          <w:sz w:val="32"/>
          <w:szCs w:val="32"/>
          <w:shd w:val="clear" w:fill="FFFFFF"/>
          <w:lang w:eastAsia="zh-CN"/>
        </w:rPr>
        <w:t>》和《</w:t>
      </w:r>
      <w:r>
        <w:rPr>
          <w:rFonts w:hint="eastAsia" w:ascii="仿宋_GB2312" w:hAnsi="仿宋_GB2312" w:eastAsia="仿宋_GB2312" w:cs="仿宋_GB2312"/>
          <w:b w:val="0"/>
          <w:bCs w:val="0"/>
          <w:i w:val="0"/>
          <w:iCs w:val="0"/>
          <w:caps w:val="0"/>
          <w:color w:val="auto"/>
          <w:spacing w:val="0"/>
          <w:sz w:val="32"/>
          <w:szCs w:val="32"/>
          <w:shd w:val="clear" w:fill="FFFFFF"/>
        </w:rPr>
        <w:t>安徽省教育厅关于印发安徽省义务教育领域基层政务公开事项指引目录的通知</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要求，我局及时对本单位的信息公开目录进行调整、补充、完善</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进一步</w:t>
      </w:r>
      <w:r>
        <w:rPr>
          <w:rFonts w:hint="eastAsia" w:ascii="仿宋_GB2312" w:hAnsi="仿宋_GB2312" w:eastAsia="仿宋_GB2312" w:cs="仿宋_GB2312"/>
          <w:b w:val="0"/>
          <w:bCs w:val="0"/>
          <w:i w:val="0"/>
          <w:iCs w:val="0"/>
          <w:caps w:val="0"/>
          <w:color w:val="auto"/>
          <w:spacing w:val="0"/>
          <w:sz w:val="32"/>
          <w:szCs w:val="32"/>
          <w:shd w:val="clear" w:fill="FFFFFF"/>
          <w:lang w:eastAsia="zh-CN"/>
        </w:rPr>
        <w:t>对义务教育</w:t>
      </w:r>
      <w:r>
        <w:rPr>
          <w:rFonts w:hint="eastAsia" w:ascii="仿宋_GB2312" w:hAnsi="仿宋_GB2312" w:eastAsia="仿宋_GB2312" w:cs="仿宋_GB2312"/>
          <w:b w:val="0"/>
          <w:bCs w:val="0"/>
          <w:i w:val="0"/>
          <w:iCs w:val="0"/>
          <w:caps w:val="0"/>
          <w:color w:val="auto"/>
          <w:spacing w:val="0"/>
          <w:sz w:val="32"/>
          <w:szCs w:val="32"/>
          <w:shd w:val="clear" w:fill="FFFFFF"/>
        </w:rPr>
        <w:t>重点领域的公开目录规范</w:t>
      </w:r>
      <w:r>
        <w:rPr>
          <w:rFonts w:hint="eastAsia" w:ascii="仿宋_GB2312" w:hAnsi="仿宋_GB2312" w:eastAsia="仿宋_GB2312" w:cs="仿宋_GB2312"/>
          <w:b w:val="0"/>
          <w:bCs w:val="0"/>
          <w:i w:val="0"/>
          <w:iCs w:val="0"/>
          <w:caps w:val="0"/>
          <w:color w:val="auto"/>
          <w:spacing w:val="0"/>
          <w:sz w:val="32"/>
          <w:szCs w:val="32"/>
          <w:shd w:val="clear" w:fill="FFFFFF"/>
          <w:lang w:eastAsia="zh-CN"/>
        </w:rPr>
        <w:t>进行</w:t>
      </w:r>
      <w:r>
        <w:rPr>
          <w:rFonts w:hint="eastAsia" w:ascii="仿宋_GB2312" w:hAnsi="仿宋_GB2312" w:eastAsia="仿宋_GB2312" w:cs="仿宋_GB2312"/>
          <w:b w:val="0"/>
          <w:bCs w:val="0"/>
          <w:i w:val="0"/>
          <w:iCs w:val="0"/>
          <w:caps w:val="0"/>
          <w:color w:val="auto"/>
          <w:spacing w:val="0"/>
          <w:sz w:val="32"/>
          <w:szCs w:val="32"/>
          <w:shd w:val="clear" w:fill="FFFFFF"/>
        </w:rPr>
        <w:t>调整，</w:t>
      </w:r>
      <w:r>
        <w:rPr>
          <w:rFonts w:hint="eastAsia" w:ascii="仿宋_GB2312" w:hAnsi="仿宋_GB2312" w:eastAsia="仿宋_GB2312" w:cs="仿宋_GB2312"/>
          <w:b w:val="0"/>
          <w:bCs w:val="0"/>
          <w:i w:val="0"/>
          <w:iCs w:val="0"/>
          <w:caps w:val="0"/>
          <w:color w:val="auto"/>
          <w:spacing w:val="0"/>
          <w:sz w:val="32"/>
          <w:szCs w:val="32"/>
          <w:shd w:val="clear" w:fill="FFFFFF"/>
          <w:lang w:eastAsia="zh-CN"/>
        </w:rPr>
        <w:t>其中一级事项</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10个，二级事项34项。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监督保障。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加强组织领导，完善工作机制，成立由局主要负责同志为组长的政务公开领导小组，各分管领导任副组长、各</w:t>
      </w:r>
      <w:r>
        <w:rPr>
          <w:rFonts w:hint="eastAsia" w:ascii="仿宋_GB2312" w:hAnsi="仿宋_GB2312" w:eastAsia="仿宋_GB2312" w:cs="仿宋_GB2312"/>
          <w:i w:val="0"/>
          <w:iCs w:val="0"/>
          <w:caps w:val="0"/>
          <w:color w:val="auto"/>
          <w:spacing w:val="0"/>
          <w:sz w:val="32"/>
          <w:szCs w:val="32"/>
          <w:shd w:val="clear" w:fill="FFFFFF"/>
          <w:lang w:eastAsia="zh-CN"/>
        </w:rPr>
        <w:t>股</w:t>
      </w:r>
      <w:r>
        <w:rPr>
          <w:rFonts w:hint="eastAsia" w:ascii="仿宋_GB2312" w:hAnsi="仿宋_GB2312" w:eastAsia="仿宋_GB2312" w:cs="仿宋_GB2312"/>
          <w:i w:val="0"/>
          <w:iCs w:val="0"/>
          <w:caps w:val="0"/>
          <w:color w:val="auto"/>
          <w:spacing w:val="0"/>
          <w:sz w:val="32"/>
          <w:szCs w:val="32"/>
          <w:shd w:val="clear" w:fill="FFFFFF"/>
        </w:rPr>
        <w:t>室主要负责人为成员的信息公开工作领导小组，领导小组下设</w:t>
      </w:r>
      <w:r>
        <w:rPr>
          <w:rFonts w:hint="eastAsia" w:ascii="仿宋_GB2312" w:hAnsi="仿宋_GB2312" w:eastAsia="仿宋_GB2312" w:cs="仿宋_GB2312"/>
          <w:i w:val="0"/>
          <w:iCs w:val="0"/>
          <w:caps w:val="0"/>
          <w:color w:val="auto"/>
          <w:spacing w:val="0"/>
          <w:sz w:val="32"/>
          <w:szCs w:val="32"/>
          <w:shd w:val="clear" w:fill="FFFFFF"/>
          <w:lang w:eastAsia="zh-CN"/>
        </w:rPr>
        <w:t>我局法治股</w:t>
      </w:r>
      <w:r>
        <w:rPr>
          <w:rFonts w:hint="eastAsia" w:ascii="仿宋_GB2312" w:hAnsi="仿宋_GB2312" w:eastAsia="仿宋_GB2312" w:cs="仿宋_GB2312"/>
          <w:i w:val="0"/>
          <w:iCs w:val="0"/>
          <w:caps w:val="0"/>
          <w:color w:val="auto"/>
          <w:spacing w:val="0"/>
          <w:sz w:val="32"/>
          <w:szCs w:val="32"/>
          <w:shd w:val="clear" w:fill="FFFFFF"/>
        </w:rPr>
        <w:t>，由局</w:t>
      </w:r>
      <w:r>
        <w:rPr>
          <w:rFonts w:hint="eastAsia" w:ascii="仿宋_GB2312" w:hAnsi="仿宋_GB2312" w:eastAsia="仿宋_GB2312" w:cs="仿宋_GB2312"/>
          <w:i w:val="0"/>
          <w:iCs w:val="0"/>
          <w:caps w:val="0"/>
          <w:color w:val="auto"/>
          <w:spacing w:val="0"/>
          <w:sz w:val="32"/>
          <w:szCs w:val="32"/>
          <w:shd w:val="clear" w:fill="FFFFFF"/>
          <w:lang w:eastAsia="zh-CN"/>
        </w:rPr>
        <w:t>法治股</w:t>
      </w:r>
      <w:r>
        <w:rPr>
          <w:rFonts w:hint="eastAsia" w:ascii="仿宋_GB2312" w:hAnsi="仿宋_GB2312" w:eastAsia="仿宋_GB2312" w:cs="仿宋_GB2312"/>
          <w:i w:val="0"/>
          <w:iCs w:val="0"/>
          <w:caps w:val="0"/>
          <w:color w:val="auto"/>
          <w:spacing w:val="0"/>
          <w:sz w:val="32"/>
          <w:szCs w:val="32"/>
          <w:shd w:val="clear" w:fill="FFFFFF"/>
        </w:rPr>
        <w:t>具体负责政府信息公开的日常工作。领导小组定期召开会议，总结、研究、部署信息公开工作，切实保障此项工作顺利开展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2021年，我局召开关于政务公开工作总结暨部署会议1次，培训及推进会议3次，参加区政府举办法的区政务工作培训会3次。</w:t>
      </w:r>
      <w:r>
        <w:rPr>
          <w:rFonts w:hint="eastAsia" w:ascii="仿宋_GB2312" w:hAnsi="仿宋_GB2312" w:eastAsia="仿宋_GB2312" w:cs="仿宋_GB2312"/>
          <w:i w:val="0"/>
          <w:iCs w:val="0"/>
          <w:caps w:val="0"/>
          <w:color w:val="auto"/>
          <w:spacing w:val="0"/>
          <w:sz w:val="32"/>
          <w:szCs w:val="32"/>
          <w:shd w:val="clear" w:fill="FFFFFF"/>
        </w:rPr>
        <w:t>形成了“主要领导亲自抓，分管领导具体抓，职能</w:t>
      </w:r>
      <w:r>
        <w:rPr>
          <w:rFonts w:hint="eastAsia" w:ascii="仿宋_GB2312" w:hAnsi="仿宋_GB2312" w:eastAsia="仿宋_GB2312" w:cs="仿宋_GB2312"/>
          <w:i w:val="0"/>
          <w:iCs w:val="0"/>
          <w:caps w:val="0"/>
          <w:color w:val="auto"/>
          <w:spacing w:val="0"/>
          <w:sz w:val="32"/>
          <w:szCs w:val="32"/>
          <w:shd w:val="clear" w:fill="FFFFFF"/>
          <w:lang w:eastAsia="zh-CN"/>
        </w:rPr>
        <w:t>股</w:t>
      </w:r>
      <w:r>
        <w:rPr>
          <w:rFonts w:hint="eastAsia" w:ascii="仿宋_GB2312" w:hAnsi="仿宋_GB2312" w:eastAsia="仿宋_GB2312" w:cs="仿宋_GB2312"/>
          <w:i w:val="0"/>
          <w:iCs w:val="0"/>
          <w:caps w:val="0"/>
          <w:color w:val="auto"/>
          <w:spacing w:val="0"/>
          <w:sz w:val="32"/>
          <w:szCs w:val="32"/>
          <w:shd w:val="clear" w:fill="FFFFFF"/>
        </w:rPr>
        <w:t>室抓落实”的工作机制，及时协调解决工作中的问题。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i w:val="0"/>
          <w:iCs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rPr>
      </w:pPr>
    </w:p>
    <w:tbl>
      <w:tblPr>
        <w:tblStyle w:val="4"/>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color w:val="auto"/>
                <w:kern w:val="0"/>
                <w:sz w:val="24"/>
                <w:lang w:val="en-US" w:eastAsia="zh-CN"/>
              </w:rPr>
            </w:pPr>
            <w:r>
              <w:rPr>
                <w:rFonts w:hAnsi="宋体"/>
                <w:color w:val="auto"/>
                <w:kern w:val="0"/>
                <w:sz w:val="20"/>
                <w:szCs w:val="20"/>
              </w:rPr>
              <w:t>本年制</w:t>
            </w:r>
            <w:r>
              <w:rPr>
                <w:rFonts w:hint="eastAsia" w:hAnsi="宋体"/>
                <w:color w:val="auto"/>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color w:val="auto"/>
                <w:kern w:val="0"/>
                <w:sz w:val="24"/>
                <w:lang w:val="en-US" w:eastAsia="zh-CN"/>
              </w:rPr>
            </w:pPr>
            <w:r>
              <w:rPr>
                <w:rFonts w:hAnsi="宋体"/>
                <w:color w:val="auto"/>
                <w:kern w:val="0"/>
                <w:sz w:val="20"/>
                <w:szCs w:val="20"/>
              </w:rPr>
              <w:t>本年</w:t>
            </w:r>
            <w:r>
              <w:rPr>
                <w:rFonts w:hint="eastAsia" w:hAnsi="宋体"/>
                <w:color w:val="auto"/>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color w:val="auto"/>
                <w:kern w:val="0"/>
                <w:sz w:val="24"/>
                <w:lang w:eastAsia="zh-CN"/>
              </w:rPr>
            </w:pPr>
            <w:r>
              <w:rPr>
                <w:rFonts w:hint="eastAsia" w:hAnsi="宋体"/>
                <w:color w:val="auto"/>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color w:val="auto"/>
                <w:kern w:val="0"/>
                <w:sz w:val="24"/>
              </w:rPr>
            </w:pPr>
            <w:r>
              <w:rPr>
                <w:rFonts w:hAnsi="宋体"/>
                <w:color w:val="auto"/>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color w:val="auto"/>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color w:val="auto"/>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color w:val="auto"/>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color w:val="auto"/>
                <w:kern w:val="0"/>
                <w:sz w:val="24"/>
              </w:rPr>
            </w:pPr>
            <w:r>
              <w:rPr>
                <w:rFonts w:hAnsi="宋体"/>
                <w:color w:val="auto"/>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color w:val="auto"/>
                <w:kern w:val="0"/>
                <w:sz w:val="24"/>
              </w:rPr>
            </w:pPr>
            <w:r>
              <w:rPr>
                <w:rFonts w:hAnsi="宋体"/>
                <w:color w:val="auto"/>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color w:val="auto"/>
                <w:kern w:val="0"/>
                <w:sz w:val="20"/>
                <w:szCs w:val="20"/>
                <w:lang w:val="en-US"/>
              </w:rPr>
            </w:pPr>
            <w:r>
              <w:rPr>
                <w:rFonts w:hint="default"/>
                <w:color w:val="auto"/>
                <w:kern w:val="0"/>
                <w:sz w:val="20"/>
                <w:szCs w:val="20"/>
                <w:lang w:val="en-US"/>
              </w:rPr>
              <w:t>4</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color w:val="auto"/>
                <w:kern w:val="0"/>
                <w:sz w:val="24"/>
              </w:rPr>
            </w:pPr>
            <w:r>
              <w:rPr>
                <w:rFonts w:hAnsi="宋体"/>
                <w:color w:val="auto"/>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color w:val="auto"/>
                <w:kern w:val="0"/>
                <w:sz w:val="24"/>
              </w:rPr>
            </w:pPr>
            <w:r>
              <w:rPr>
                <w:rFonts w:hAnsi="宋体"/>
                <w:color w:val="auto"/>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color w:val="auto"/>
                <w:kern w:val="0"/>
                <w:sz w:val="24"/>
                <w:lang w:val="en-US" w:eastAsia="zh-CN"/>
              </w:rPr>
            </w:pPr>
            <w:r>
              <w:rPr>
                <w:rFonts w:hint="eastAsia" w:hAnsi="宋体"/>
                <w:color w:val="auto"/>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color w:val="auto"/>
                <w:kern w:val="0"/>
                <w:sz w:val="24"/>
              </w:rPr>
            </w:pPr>
            <w:r>
              <w:rPr>
                <w:rFonts w:hAnsi="宋体"/>
                <w:color w:val="auto"/>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r>
    </w:tbl>
    <w:p>
      <w:pPr>
        <w:jc w:val="center"/>
        <w:rPr>
          <w:rFonts w:hint="eastAsia"/>
          <w:color w:val="auto"/>
        </w:rPr>
      </w:pP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jc w:val="center"/>
        <w:rPr>
          <w:rFonts w:hint="eastAsia"/>
          <w:color w:val="auto"/>
        </w:rPr>
      </w:pPr>
    </w:p>
    <w:tbl>
      <w:tblPr>
        <w:tblStyle w:val="4"/>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color w:val="auto"/>
                <w:kern w:val="0"/>
                <w:sz w:val="24"/>
              </w:rPr>
            </w:pPr>
            <w:r>
              <w:rPr>
                <w:rFonts w:hAnsi="宋体"/>
                <w:color w:val="auto"/>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color w:val="auto"/>
                <w:kern w:val="0"/>
                <w:sz w:val="24"/>
              </w:rPr>
            </w:pPr>
            <w:r>
              <w:rPr>
                <w:rFonts w:hAnsi="宋体"/>
                <w:color w:val="auto"/>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4"/>
                <w:lang w:val="en-US"/>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color w:val="auto"/>
                <w:kern w:val="0"/>
                <w:sz w:val="24"/>
              </w:rPr>
            </w:pPr>
            <w:r>
              <w:rPr>
                <w:rFonts w:hAnsi="宋体"/>
                <w:color w:val="auto"/>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color w:val="auto"/>
                <w:kern w:val="0"/>
                <w:sz w:val="24"/>
              </w:rPr>
            </w:pPr>
            <w:r>
              <w:rPr>
                <w:rFonts w:hAnsi="楷体" w:eastAsia="楷体"/>
                <w:color w:val="auto"/>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4"/>
                <w:lang w:val="en-US"/>
              </w:rPr>
            </w:pPr>
            <w:r>
              <w:rPr>
                <w:rFonts w:hint="default"/>
                <w:color w:val="auto"/>
                <w:kern w:val="0"/>
                <w:sz w:val="20"/>
                <w:szCs w:val="20"/>
                <w:lang w:val="en-US"/>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4"/>
                <w:lang w:val="en-US"/>
              </w:rPr>
            </w:pPr>
            <w:r>
              <w:rPr>
                <w:rFonts w:hint="default"/>
                <w:color w:val="auto"/>
                <w:kern w:val="0"/>
                <w:sz w:val="20"/>
                <w:szCs w:val="20"/>
                <w:lang w:val="en-US"/>
              </w:rPr>
              <w:t>1</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color w:val="auto"/>
                <w:kern w:val="0"/>
                <w:sz w:val="24"/>
              </w:rPr>
            </w:pPr>
            <w:r>
              <w:rPr>
                <w:rFonts w:hAnsi="楷体" w:eastAsia="楷体"/>
                <w:color w:val="auto"/>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hAnsi="楷体" w:eastAsia="楷体"/>
                <w:color w:val="auto"/>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1.</w:t>
            </w:r>
            <w:r>
              <w:rPr>
                <w:rFonts w:hAnsi="楷体" w:eastAsia="楷体"/>
                <w:color w:val="auto"/>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2.</w:t>
            </w:r>
            <w:r>
              <w:rPr>
                <w:rFonts w:hAnsi="楷体" w:eastAsia="楷体"/>
                <w:color w:val="auto"/>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3.</w:t>
            </w:r>
            <w:r>
              <w:rPr>
                <w:rFonts w:hAnsi="楷体" w:eastAsia="楷体"/>
                <w:color w:val="auto"/>
                <w:kern w:val="0"/>
                <w:sz w:val="20"/>
                <w:szCs w:val="20"/>
              </w:rPr>
              <w:t>危及</w:t>
            </w:r>
            <w:r>
              <w:rPr>
                <w:rFonts w:eastAsia="楷体"/>
                <w:color w:val="auto"/>
                <w:kern w:val="0"/>
                <w:sz w:val="20"/>
                <w:szCs w:val="20"/>
              </w:rPr>
              <w:t>“</w:t>
            </w:r>
            <w:r>
              <w:rPr>
                <w:rFonts w:hAnsi="楷体" w:eastAsia="楷体"/>
                <w:color w:val="auto"/>
                <w:kern w:val="0"/>
                <w:sz w:val="20"/>
                <w:szCs w:val="20"/>
              </w:rPr>
              <w:t>三安全一稳定</w:t>
            </w:r>
            <w:r>
              <w:rPr>
                <w:rFonts w:eastAsia="楷体"/>
                <w:color w:val="auto"/>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4.</w:t>
            </w:r>
            <w:r>
              <w:rPr>
                <w:rFonts w:hAnsi="楷体" w:eastAsia="楷体"/>
                <w:color w:val="auto"/>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5.</w:t>
            </w:r>
            <w:r>
              <w:rPr>
                <w:rFonts w:hAnsi="楷体" w:eastAsia="楷体"/>
                <w:color w:val="auto"/>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6.</w:t>
            </w:r>
            <w:r>
              <w:rPr>
                <w:rFonts w:hAnsi="楷体" w:eastAsia="楷体"/>
                <w:color w:val="auto"/>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7.</w:t>
            </w:r>
            <w:r>
              <w:rPr>
                <w:rFonts w:hAnsi="楷体" w:eastAsia="楷体"/>
                <w:color w:val="auto"/>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8.</w:t>
            </w:r>
            <w:r>
              <w:rPr>
                <w:rFonts w:hAnsi="楷体" w:eastAsia="楷体"/>
                <w:color w:val="auto"/>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hAnsi="楷体" w:eastAsia="楷体"/>
                <w:color w:val="auto"/>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1.</w:t>
            </w:r>
            <w:r>
              <w:rPr>
                <w:rFonts w:hAnsi="楷体" w:eastAsia="楷体"/>
                <w:color w:val="auto"/>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2.</w:t>
            </w:r>
            <w:r>
              <w:rPr>
                <w:rFonts w:hAnsi="楷体" w:eastAsia="楷体"/>
                <w:color w:val="auto"/>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3.</w:t>
            </w:r>
            <w:r>
              <w:rPr>
                <w:rFonts w:hAnsi="楷体" w:eastAsia="楷体"/>
                <w:color w:val="auto"/>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hAnsi="楷体" w:eastAsia="楷体"/>
                <w:color w:val="auto"/>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1.</w:t>
            </w:r>
            <w:r>
              <w:rPr>
                <w:rFonts w:hAnsi="楷体" w:eastAsia="楷体"/>
                <w:color w:val="auto"/>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2.</w:t>
            </w:r>
            <w:r>
              <w:rPr>
                <w:rFonts w:hAnsi="楷体" w:eastAsia="楷体"/>
                <w:color w:val="auto"/>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3.</w:t>
            </w:r>
            <w:r>
              <w:rPr>
                <w:rFonts w:hAnsi="楷体" w:eastAsia="楷体"/>
                <w:color w:val="auto"/>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4.</w:t>
            </w:r>
            <w:r>
              <w:rPr>
                <w:rFonts w:hAnsi="楷体" w:eastAsia="楷体"/>
                <w:color w:val="auto"/>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auto"/>
                <w:kern w:val="0"/>
                <w:sz w:val="24"/>
              </w:rPr>
            </w:pPr>
            <w:r>
              <w:rPr>
                <w:rFonts w:eastAsia="楷体"/>
                <w:color w:val="auto"/>
                <w:kern w:val="0"/>
                <w:sz w:val="20"/>
                <w:szCs w:val="20"/>
              </w:rPr>
              <w:t>5.</w:t>
            </w:r>
            <w:r>
              <w:rPr>
                <w:rFonts w:hAnsi="楷体" w:eastAsia="楷体"/>
                <w:color w:val="auto"/>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restart"/>
            <w:tcBorders>
              <w:top w:val="nil"/>
              <w:left w:val="nil"/>
              <w:right w:val="single" w:color="auto" w:sz="8" w:space="0"/>
            </w:tcBorders>
            <w:vAlign w:val="center"/>
          </w:tcPr>
          <w:p>
            <w:pPr>
              <w:widowControl/>
              <w:jc w:val="left"/>
              <w:rPr>
                <w:color w:val="auto"/>
                <w:kern w:val="0"/>
                <w:sz w:val="24"/>
              </w:rPr>
            </w:pPr>
            <w:r>
              <w:rPr>
                <w:rFonts w:hAnsi="楷体" w:eastAsia="楷体"/>
                <w:color w:val="auto"/>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color w:val="auto"/>
                <w:kern w:val="0"/>
                <w:sz w:val="20"/>
                <w:szCs w:val="20"/>
              </w:rPr>
            </w:pPr>
            <w:r>
              <w:rPr>
                <w:rFonts w:hint="eastAsia" w:hAnsi="楷体" w:eastAsia="楷体"/>
                <w:color w:val="auto"/>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left w:val="nil"/>
              <w:right w:val="single" w:color="auto" w:sz="8" w:space="0"/>
            </w:tcBorders>
            <w:vAlign w:val="center"/>
          </w:tcPr>
          <w:p>
            <w:pPr>
              <w:widowControl/>
              <w:jc w:val="left"/>
              <w:rPr>
                <w:rFonts w:hAnsi="楷体" w:eastAsia="楷体"/>
                <w:color w:val="auto"/>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color w:val="auto"/>
                <w:kern w:val="0"/>
                <w:sz w:val="20"/>
                <w:szCs w:val="20"/>
              </w:rPr>
            </w:pPr>
            <w:r>
              <w:rPr>
                <w:rFonts w:hint="eastAsia" w:hAnsi="楷体" w:eastAsia="楷体"/>
                <w:color w:val="auto"/>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color w:val="auto"/>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color w:val="auto"/>
                <w:kern w:val="0"/>
                <w:sz w:val="20"/>
                <w:szCs w:val="20"/>
              </w:rPr>
            </w:pPr>
            <w:r>
              <w:rPr>
                <w:rFonts w:hint="eastAsia" w:hAnsi="楷体" w:eastAsia="楷体"/>
                <w:color w:val="auto"/>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color w:val="auto"/>
                <w:kern w:val="0"/>
                <w:sz w:val="24"/>
              </w:rPr>
            </w:pPr>
            <w:r>
              <w:rPr>
                <w:rFonts w:hAnsi="楷体" w:eastAsia="楷体"/>
                <w:color w:val="auto"/>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0"/>
                <w:szCs w:val="20"/>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color w:val="auto"/>
                <w:kern w:val="0"/>
                <w:sz w:val="20"/>
                <w:szCs w:val="20"/>
                <w:lang w:val="en-US"/>
              </w:rPr>
            </w:pPr>
            <w:r>
              <w:rPr>
                <w:rFonts w:hint="default"/>
                <w:color w:val="auto"/>
                <w:kern w:val="0"/>
                <w:sz w:val="20"/>
                <w:szCs w:val="20"/>
                <w:lang w:val="en-US"/>
              </w:rPr>
              <w:t>1</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color w:val="auto"/>
                <w:kern w:val="0"/>
                <w:sz w:val="24"/>
              </w:rPr>
            </w:pPr>
            <w:r>
              <w:rPr>
                <w:rFonts w:hAnsi="宋体"/>
                <w:color w:val="auto"/>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bl>
    <w:p>
      <w:pPr>
        <w:jc w:val="center"/>
        <w:rPr>
          <w:rFonts w:hint="eastAsia" w:ascii="黑体" w:hAnsi="黑体" w:eastAsia="黑体" w:cs="黑体"/>
          <w:color w:val="auto"/>
          <w:sz w:val="32"/>
          <w:szCs w:val="32"/>
        </w:rPr>
      </w:pPr>
      <w:bookmarkStart w:id="0" w:name="_GoBack"/>
      <w:bookmarkEnd w:id="0"/>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jc w:val="center"/>
        <w:rPr>
          <w:rFonts w:hint="eastAsia"/>
          <w:color w:val="auto"/>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color w:val="auto"/>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color w:val="auto"/>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Ansi="宋体"/>
                <w:color w:val="auto"/>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auto"/>
                <w:kern w:val="0"/>
                <w:sz w:val="24"/>
              </w:rPr>
            </w:pPr>
            <w:r>
              <w:rPr>
                <w:rFonts w:hint="default"/>
                <w:color w:val="auto"/>
                <w:kern w:val="0"/>
                <w:sz w:val="20"/>
                <w:szCs w:val="20"/>
                <w:lang w:val="en-US"/>
              </w:rPr>
              <w:t>0</w:t>
            </w:r>
          </w:p>
        </w:tc>
      </w:tr>
    </w:tbl>
    <w:p>
      <w:pPr>
        <w:jc w:val="both"/>
        <w:rPr>
          <w:rFonts w:hint="eastAsia"/>
          <w:color w:val="auto"/>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存在问题：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政策解读</w:t>
      </w:r>
      <w:r>
        <w:rPr>
          <w:rFonts w:hint="eastAsia" w:ascii="仿宋_GB2312" w:hAnsi="仿宋_GB2312" w:eastAsia="仿宋_GB2312" w:cs="仿宋_GB2312"/>
          <w:color w:val="auto"/>
          <w:sz w:val="32"/>
          <w:szCs w:val="32"/>
          <w:lang w:eastAsia="zh-CN"/>
        </w:rPr>
        <w:t>形式</w:t>
      </w:r>
      <w:r>
        <w:rPr>
          <w:rFonts w:hint="eastAsia" w:ascii="仿宋_GB2312" w:hAnsi="仿宋_GB2312" w:eastAsia="仿宋_GB2312" w:cs="仿宋_GB2312"/>
          <w:color w:val="auto"/>
          <w:sz w:val="32"/>
          <w:szCs w:val="32"/>
        </w:rPr>
        <w:t>单一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质量不高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公开发布的范围不够全面，</w:t>
      </w:r>
      <w:r>
        <w:rPr>
          <w:rFonts w:hint="eastAsia" w:ascii="仿宋_GB2312" w:hAnsi="仿宋_GB2312" w:eastAsia="仿宋_GB2312" w:cs="仿宋_GB2312"/>
          <w:color w:val="auto"/>
          <w:sz w:val="32"/>
          <w:szCs w:val="32"/>
          <w:lang w:val="en-US" w:eastAsia="zh-CN"/>
        </w:rPr>
        <w:t>群众关注的民生信息量少。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我局将</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《条例》等要求，结合教</w:t>
      </w:r>
      <w:r>
        <w:rPr>
          <w:rFonts w:hint="eastAsia" w:ascii="仿宋_GB2312" w:hAnsi="仿宋_GB2312" w:eastAsia="仿宋_GB2312" w:cs="仿宋_GB2312"/>
          <w:color w:val="auto"/>
          <w:sz w:val="32"/>
          <w:szCs w:val="32"/>
          <w:lang w:eastAsia="zh-CN"/>
        </w:rPr>
        <w:t>体</w:t>
      </w:r>
      <w:r>
        <w:rPr>
          <w:rFonts w:hint="eastAsia" w:ascii="仿宋_GB2312" w:hAnsi="仿宋_GB2312" w:eastAsia="仿宋_GB2312" w:cs="仿宋_GB2312"/>
          <w:color w:val="auto"/>
          <w:sz w:val="32"/>
          <w:szCs w:val="32"/>
        </w:rPr>
        <w:t>工作实际，遵循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谁起草，谁解读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的原则，落实起草部门对政策文件进行深入解读，</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老百姓看得懂，看明白。</w:t>
      </w:r>
      <w:r>
        <w:rPr>
          <w:rFonts w:hint="eastAsia" w:ascii="仿宋_GB2312" w:hAnsi="仿宋_GB2312" w:eastAsia="仿宋_GB2312" w:cs="仿宋_GB2312"/>
          <w:color w:val="auto"/>
          <w:sz w:val="32"/>
          <w:szCs w:val="32"/>
          <w:lang w:eastAsia="zh-CN"/>
        </w:rPr>
        <w:t>政策解读可</w:t>
      </w:r>
      <w:r>
        <w:rPr>
          <w:rFonts w:hint="eastAsia" w:ascii="仿宋_GB2312" w:hAnsi="仿宋_GB2312" w:eastAsia="仿宋_GB2312" w:cs="仿宋_GB2312"/>
          <w:color w:val="auto"/>
          <w:sz w:val="32"/>
          <w:szCs w:val="32"/>
        </w:rPr>
        <w:t>采取图表展现形式，增强政策的可读性和趣味性；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及时回应社会关切问题，正确引导社会舆论，不断提高教</w:t>
      </w:r>
      <w:r>
        <w:rPr>
          <w:rFonts w:hint="eastAsia" w:ascii="仿宋_GB2312" w:hAnsi="仿宋_GB2312" w:eastAsia="仿宋_GB2312" w:cs="仿宋_GB2312"/>
          <w:color w:val="auto"/>
          <w:sz w:val="32"/>
          <w:szCs w:val="32"/>
          <w:lang w:eastAsia="zh-CN"/>
        </w:rPr>
        <w:t>体</w:t>
      </w:r>
      <w:r>
        <w:rPr>
          <w:rFonts w:hint="eastAsia" w:ascii="仿宋_GB2312" w:hAnsi="仿宋_GB2312" w:eastAsia="仿宋_GB2312" w:cs="仿宋_GB2312"/>
          <w:color w:val="auto"/>
          <w:sz w:val="32"/>
          <w:szCs w:val="32"/>
        </w:rPr>
        <w:t>工作透明度，推动政务公开工作再上新台阶。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91FA9"/>
    <w:multiLevelType w:val="singleLevel"/>
    <w:tmpl w:val="2D491FA9"/>
    <w:lvl w:ilvl="0" w:tentative="0">
      <w:start w:val="3"/>
      <w:numFmt w:val="chineseCounting"/>
      <w:suff w:val="nothing"/>
      <w:lvlText w:val="（%1）"/>
      <w:lvlJc w:val="left"/>
      <w:rPr>
        <w:rFonts w:hint="eastAsia"/>
      </w:rPr>
    </w:lvl>
  </w:abstractNum>
  <w:abstractNum w:abstractNumId="1">
    <w:nsid w:val="553172B5"/>
    <w:multiLevelType w:val="singleLevel"/>
    <w:tmpl w:val="553172B5"/>
    <w:lvl w:ilvl="0" w:tentative="0">
      <w:start w:val="1"/>
      <w:numFmt w:val="chineseCounting"/>
      <w:suff w:val="nothing"/>
      <w:lvlText w:val="%1、"/>
      <w:lvlJc w:val="left"/>
      <w:pPr>
        <w:ind w:left="135"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62F1"/>
    <w:rsid w:val="05E3069E"/>
    <w:rsid w:val="0AF71C60"/>
    <w:rsid w:val="0B3B1457"/>
    <w:rsid w:val="14F97E15"/>
    <w:rsid w:val="1BBE3550"/>
    <w:rsid w:val="2748137B"/>
    <w:rsid w:val="2B3D1D31"/>
    <w:rsid w:val="3029128E"/>
    <w:rsid w:val="38B920D7"/>
    <w:rsid w:val="3F796FCF"/>
    <w:rsid w:val="4235657F"/>
    <w:rsid w:val="48955123"/>
    <w:rsid w:val="58605528"/>
    <w:rsid w:val="5A180A46"/>
    <w:rsid w:val="610E214E"/>
    <w:rsid w:val="61964309"/>
    <w:rsid w:val="633D060E"/>
    <w:rsid w:val="640845B6"/>
    <w:rsid w:val="6FCF065F"/>
    <w:rsid w:val="700A66D9"/>
    <w:rsid w:val="70726075"/>
    <w:rsid w:val="73ED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2384</Words>
  <Characters>2479</Characters>
  <Lines>0</Lines>
  <Paragraphs>0</Paragraphs>
  <TotalTime>12</TotalTime>
  <ScaleCrop>false</ScaleCrop>
  <LinksUpToDate>false</LinksUpToDate>
  <CharactersWithSpaces>2485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Administrator</cp:lastModifiedBy>
  <dcterms:modified xsi:type="dcterms:W3CDTF">2022-01-11T08:00:11Z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80DD05B0A716456A8264DE5C99E28633</vt:lpwstr>
  </property>
</Properties>
</file>