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滁州市南谯区城管执法局2022年度政府</w:t>
      </w:r>
      <w:r>
        <w:rPr>
          <w:rFonts w:hint="eastAsia" w:ascii="方正小标宋简体" w:hAnsi="方正小标宋简体" w:eastAsia="方正小标宋简体" w:cs="方正小标宋简体"/>
          <w:sz w:val="44"/>
          <w:szCs w:val="44"/>
        </w:rPr>
        <w:t>信息</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公开工作年度报告</w:t>
      </w:r>
    </w:p>
    <w:p>
      <w:pPr>
        <w:jc w:val="center"/>
        <w:rPr>
          <w:rFonts w:hint="eastAsia"/>
        </w:rPr>
      </w:pP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eastAsia" w:ascii="黑体" w:hAnsi="黑体" w:eastAsia="黑体" w:cs="黑体"/>
          <w:sz w:val="30"/>
          <w:szCs w:val="30"/>
          <w:lang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jc w:val="left"/>
        <w:textAlignment w:val="auto"/>
        <w:rPr>
          <w:rFonts w:hint="default" w:ascii="Times New Roman" w:hAnsi="Times New Roman" w:eastAsia="仿宋" w:cs="Times New Roman"/>
          <w:sz w:val="30"/>
          <w:szCs w:val="30"/>
          <w:lang w:eastAsia="zh-CN"/>
        </w:rPr>
      </w:pPr>
      <w:r>
        <w:rPr>
          <w:rFonts w:hint="default" w:ascii="Times New Roman" w:hAnsi="Times New Roman" w:eastAsia="仿宋" w:cs="Times New Roman"/>
          <w:sz w:val="30"/>
          <w:szCs w:val="30"/>
          <w:lang w:eastAsia="zh-CN"/>
        </w:rPr>
        <w:t>本报告是《中华人民共和国政府信息公开条例》确立的法定制度安排，按照《中华人民共和国政府信息公开工作年度报告格式》要求，</w:t>
      </w:r>
      <w:r>
        <w:rPr>
          <w:rFonts w:hint="default" w:ascii="Times New Roman" w:hAnsi="Times New Roman" w:eastAsia="仿宋" w:cs="Times New Roman"/>
          <w:sz w:val="30"/>
          <w:szCs w:val="30"/>
          <w:lang w:val="en-US" w:eastAsia="zh-CN"/>
        </w:rPr>
        <w:t>由滁州市南谯</w:t>
      </w:r>
      <w:r>
        <w:rPr>
          <w:rFonts w:hint="default" w:ascii="Times New Roman" w:hAnsi="Times New Roman" w:eastAsia="仿宋" w:cs="Times New Roman"/>
          <w:sz w:val="30"/>
          <w:szCs w:val="30"/>
          <w:lang w:eastAsia="zh-CN"/>
        </w:rPr>
        <w:t>区城管执法局编制。本报告主要由总体情况，主动公开政府信息情况，收到和处理政府信息公开申请情况，政府信息公开行政复议、行政诉讼情况，存在的主要问题及改进情况，其他需要报告的事项等部分组成。本报告中所列数据的统计期限自202</w:t>
      </w:r>
      <w:r>
        <w:rPr>
          <w:rFonts w:hint="default" w:ascii="Times New Roman" w:hAnsi="Times New Roman" w:eastAsia="仿宋" w:cs="Times New Roman"/>
          <w:sz w:val="30"/>
          <w:szCs w:val="30"/>
          <w:lang w:val="en-US" w:eastAsia="zh-CN"/>
        </w:rPr>
        <w:t>2</w:t>
      </w:r>
      <w:r>
        <w:rPr>
          <w:rFonts w:hint="default" w:ascii="Times New Roman" w:hAnsi="Times New Roman" w:eastAsia="仿宋" w:cs="Times New Roman"/>
          <w:sz w:val="30"/>
          <w:szCs w:val="30"/>
          <w:lang w:eastAsia="zh-CN"/>
        </w:rPr>
        <w:t>年1月1日起至202</w:t>
      </w:r>
      <w:r>
        <w:rPr>
          <w:rFonts w:hint="default" w:ascii="Times New Roman" w:hAnsi="Times New Roman" w:eastAsia="仿宋" w:cs="Times New Roman"/>
          <w:sz w:val="30"/>
          <w:szCs w:val="30"/>
          <w:lang w:val="en-US" w:eastAsia="zh-CN"/>
        </w:rPr>
        <w:t>2</w:t>
      </w:r>
      <w:r>
        <w:rPr>
          <w:rFonts w:hint="default" w:ascii="Times New Roman" w:hAnsi="Times New Roman" w:eastAsia="仿宋" w:cs="Times New Roman"/>
          <w:sz w:val="30"/>
          <w:szCs w:val="30"/>
          <w:lang w:eastAsia="zh-CN"/>
        </w:rPr>
        <w:t>年12月31日止。本报告以网上公开的形式进行公布。如对本报告有任何疑问，请与</w:t>
      </w:r>
      <w:r>
        <w:rPr>
          <w:rFonts w:hint="default" w:ascii="Times New Roman" w:hAnsi="Times New Roman" w:eastAsia="仿宋" w:cs="Times New Roman"/>
          <w:sz w:val="30"/>
          <w:szCs w:val="30"/>
          <w:lang w:val="en-US" w:eastAsia="zh-CN"/>
        </w:rPr>
        <w:t>滁州市</w:t>
      </w:r>
      <w:r>
        <w:rPr>
          <w:rFonts w:hint="default" w:ascii="Times New Roman" w:hAnsi="Times New Roman" w:eastAsia="仿宋" w:cs="Times New Roman"/>
          <w:sz w:val="30"/>
          <w:szCs w:val="30"/>
          <w:lang w:eastAsia="zh-CN"/>
        </w:rPr>
        <w:t>南谯区</w:t>
      </w:r>
      <w:r>
        <w:rPr>
          <w:rFonts w:hint="default" w:ascii="Times New Roman" w:hAnsi="Times New Roman" w:eastAsia="仿宋" w:cs="Times New Roman"/>
          <w:sz w:val="30"/>
          <w:szCs w:val="30"/>
          <w:lang w:val="en-US" w:eastAsia="zh-CN"/>
        </w:rPr>
        <w:t>城管执法局</w:t>
      </w:r>
      <w:r>
        <w:rPr>
          <w:rFonts w:hint="default" w:ascii="Times New Roman" w:hAnsi="Times New Roman" w:eastAsia="仿宋" w:cs="Times New Roman"/>
          <w:sz w:val="30"/>
          <w:szCs w:val="30"/>
          <w:lang w:eastAsia="zh-CN"/>
        </w:rPr>
        <w:t>联系（地址：滁州市南谯区吾悦广场S12号楼（阳明南路与人民路交叉口西南侧），电话:0550-2175107，邮箱：</w:t>
      </w:r>
      <w:r>
        <w:rPr>
          <w:rFonts w:hint="default" w:ascii="Times New Roman" w:hAnsi="Times New Roman" w:eastAsia="仿宋" w:cs="Times New Roman"/>
          <w:sz w:val="30"/>
          <w:szCs w:val="30"/>
          <w:lang w:eastAsia="zh-CN"/>
        </w:rPr>
        <w:fldChar w:fldCharType="begin"/>
      </w:r>
      <w:r>
        <w:rPr>
          <w:rFonts w:hint="default" w:ascii="Times New Roman" w:hAnsi="Times New Roman" w:eastAsia="仿宋" w:cs="Times New Roman"/>
          <w:sz w:val="30"/>
          <w:szCs w:val="30"/>
          <w:lang w:eastAsia="zh-CN"/>
        </w:rPr>
        <w:instrText xml:space="preserve"> HYPERLINK "https://www.chuzhou.gov.cn/public/content/mailto:nqfjbgs@163.com" </w:instrText>
      </w:r>
      <w:r>
        <w:rPr>
          <w:rFonts w:hint="default" w:ascii="Times New Roman" w:hAnsi="Times New Roman" w:eastAsia="仿宋" w:cs="Times New Roman"/>
          <w:sz w:val="30"/>
          <w:szCs w:val="30"/>
          <w:lang w:eastAsia="zh-CN"/>
        </w:rPr>
        <w:fldChar w:fldCharType="separate"/>
      </w:r>
      <w:r>
        <w:rPr>
          <w:rFonts w:hint="default" w:ascii="Times New Roman" w:hAnsi="Times New Roman" w:eastAsia="仿宋" w:cs="Times New Roman"/>
          <w:sz w:val="30"/>
          <w:szCs w:val="30"/>
          <w:lang w:eastAsia="zh-CN"/>
        </w:rPr>
        <w:t>nqfjbgs@163.com</w:t>
      </w:r>
      <w:r>
        <w:rPr>
          <w:rFonts w:hint="default" w:ascii="Times New Roman" w:hAnsi="Times New Roman" w:eastAsia="仿宋" w:cs="Times New Roman"/>
          <w:sz w:val="30"/>
          <w:szCs w:val="30"/>
          <w:lang w:eastAsia="zh-CN"/>
        </w:rPr>
        <w:fldChar w:fldCharType="end"/>
      </w:r>
      <w:r>
        <w:rPr>
          <w:rFonts w:hint="default" w:ascii="Times New Roman" w:hAnsi="Times New Roman" w:eastAsia="仿宋" w:cs="Times New Roman"/>
          <w:sz w:val="30"/>
          <w:szCs w:val="30"/>
          <w:lang w:eastAsia="zh-CN"/>
        </w:rPr>
        <w:t>）。</w:t>
      </w: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default" w:ascii="Times New Roman" w:hAnsi="Times New Roman" w:eastAsia="黑体" w:cs="Times New Roman"/>
          <w:sz w:val="30"/>
          <w:szCs w:val="30"/>
          <w:lang w:eastAsia="zh-CN"/>
        </w:rPr>
      </w:pPr>
      <w:r>
        <w:rPr>
          <w:rFonts w:hint="default" w:ascii="Times New Roman" w:hAnsi="Times New Roman" w:eastAsia="黑体" w:cs="Times New Roman"/>
          <w:sz w:val="30"/>
          <w:szCs w:val="30"/>
        </w:rPr>
        <w:t>一、总体情况</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jc w:val="left"/>
        <w:textAlignment w:val="auto"/>
        <w:rPr>
          <w:rFonts w:hint="default" w:ascii="Times New Roman" w:hAnsi="Times New Roman" w:eastAsia="楷体_GB2312" w:cs="Times New Roman"/>
          <w:b/>
          <w:bCs/>
          <w:sz w:val="30"/>
          <w:szCs w:val="30"/>
          <w:lang w:eastAsia="zh-CN"/>
        </w:rPr>
      </w:pPr>
      <w:r>
        <w:rPr>
          <w:rFonts w:hint="default" w:ascii="Times New Roman" w:hAnsi="Times New Roman" w:eastAsia="仿宋" w:cs="Times New Roman"/>
          <w:sz w:val="30"/>
          <w:szCs w:val="30"/>
          <w:lang w:val="en-US" w:eastAsia="zh-CN"/>
        </w:rPr>
        <w:t>2022年，我局严格按照区委区政府政务公开办工作部署和要求，我局认真贯彻落实《中华人民共和国政府信息公开条例》,根据省、市、区政府信息公开工作要求，坚持“以公开为常态、不公开为例外”，全面推进决策、执行、结果、管理和服务五公开，深化三大攻坚战、放管服等重点领域信息公开，切实加强政策解读，积极回应社会关切，积极推进政府信息公开，现向社会公布2022年度南谯区城管执法局信息公开年度报告。</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firstLine="602" w:firstLineChars="200"/>
        <w:jc w:val="left"/>
        <w:textAlignment w:val="auto"/>
        <w:rPr>
          <w:rFonts w:hint="default" w:ascii="Times New Roman" w:hAnsi="Times New Roman" w:eastAsia="楷体_GB2312" w:cs="Times New Roman"/>
          <w:b/>
          <w:bCs/>
          <w:sz w:val="30"/>
          <w:szCs w:val="30"/>
        </w:rPr>
      </w:pPr>
      <w:r>
        <w:rPr>
          <w:rFonts w:hint="default" w:ascii="Times New Roman" w:hAnsi="Times New Roman" w:eastAsia="楷体_GB2312" w:cs="Times New Roman"/>
          <w:b/>
          <w:bCs/>
          <w:sz w:val="30"/>
          <w:szCs w:val="30"/>
        </w:rPr>
        <w:t>主动公开。</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00" w:firstLineChars="200"/>
        <w:jc w:val="left"/>
        <w:textAlignment w:val="auto"/>
        <w:rPr>
          <w:rFonts w:hint="default" w:ascii="Times New Roman" w:hAnsi="Times New Roman" w:eastAsia="仿宋" w:cs="Times New Roman"/>
          <w:sz w:val="30"/>
          <w:szCs w:val="30"/>
          <w:lang w:eastAsia="zh-CN"/>
        </w:rPr>
      </w:pPr>
      <w:r>
        <w:rPr>
          <w:rFonts w:hint="default" w:ascii="Times New Roman" w:hAnsi="Times New Roman" w:eastAsia="仿宋" w:cs="Times New Roman"/>
          <w:sz w:val="30"/>
          <w:szCs w:val="30"/>
          <w:lang w:eastAsia="zh-CN"/>
        </w:rPr>
        <w:t>202</w:t>
      </w:r>
      <w:r>
        <w:rPr>
          <w:rFonts w:hint="default" w:ascii="Times New Roman" w:hAnsi="Times New Roman" w:eastAsia="仿宋" w:cs="Times New Roman"/>
          <w:sz w:val="30"/>
          <w:szCs w:val="30"/>
          <w:lang w:val="en-US" w:eastAsia="zh-CN"/>
        </w:rPr>
        <w:t>2</w:t>
      </w:r>
      <w:r>
        <w:rPr>
          <w:rFonts w:hint="default" w:ascii="Times New Roman" w:hAnsi="Times New Roman" w:eastAsia="仿宋" w:cs="Times New Roman"/>
          <w:sz w:val="30"/>
          <w:szCs w:val="30"/>
          <w:lang w:eastAsia="zh-CN"/>
        </w:rPr>
        <w:t>年，</w:t>
      </w:r>
      <w:r>
        <w:rPr>
          <w:rFonts w:hint="default" w:ascii="Times New Roman" w:hAnsi="Times New Roman" w:eastAsia="仿宋" w:cs="Times New Roman"/>
          <w:sz w:val="30"/>
          <w:szCs w:val="30"/>
          <w:lang w:eastAsia="zh-CN"/>
        </w:rPr>
        <w:t>在区委、区政府的正确领导下，我局认真贯彻落实《条例》和中央、省、市工作部署要求，坚持以公开透明、公平公正为主线，以服务中心、方便群众为立足点，以促进权力公开透明运行和重点领域信息公开工作为重点，围绕中心、贴近民生、强化措施，依法、及时、准确地公开了相关政府信息，推进政府信息公开工作深入开展。202</w:t>
      </w:r>
      <w:r>
        <w:rPr>
          <w:rFonts w:hint="default" w:ascii="Times New Roman" w:hAnsi="Times New Roman" w:eastAsia="仿宋" w:cs="Times New Roman"/>
          <w:sz w:val="30"/>
          <w:szCs w:val="30"/>
          <w:lang w:val="en-US" w:eastAsia="zh-CN"/>
        </w:rPr>
        <w:t>2</w:t>
      </w:r>
      <w:r>
        <w:rPr>
          <w:rFonts w:hint="default" w:ascii="Times New Roman" w:hAnsi="Times New Roman" w:eastAsia="仿宋" w:cs="Times New Roman"/>
          <w:sz w:val="30"/>
          <w:szCs w:val="30"/>
          <w:lang w:eastAsia="zh-CN"/>
        </w:rPr>
        <w:t>年，我局通过政府信息公开网主动公开信息</w:t>
      </w:r>
      <w:r>
        <w:rPr>
          <w:rFonts w:hint="default" w:ascii="Times New Roman" w:hAnsi="Times New Roman" w:eastAsia="仿宋" w:cs="Times New Roman"/>
          <w:sz w:val="30"/>
          <w:szCs w:val="30"/>
          <w:lang w:val="en-US" w:eastAsia="zh-CN"/>
        </w:rPr>
        <w:t>317条</w:t>
      </w:r>
      <w:r>
        <w:rPr>
          <w:rFonts w:hint="default" w:ascii="Times New Roman" w:hAnsi="Times New Roman" w:eastAsia="仿宋" w:cs="Times New Roman"/>
          <w:sz w:val="30"/>
          <w:szCs w:val="30"/>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leftChars="0" w:firstLine="602" w:firstLineChars="200"/>
        <w:jc w:val="left"/>
        <w:textAlignment w:val="auto"/>
        <w:rPr>
          <w:rFonts w:hint="default" w:ascii="Times New Roman" w:hAnsi="Times New Roman" w:eastAsia="楷体_GB2312" w:cs="Times New Roman"/>
          <w:b/>
          <w:bCs/>
          <w:sz w:val="30"/>
          <w:szCs w:val="30"/>
        </w:rPr>
      </w:pPr>
      <w:r>
        <w:rPr>
          <w:rFonts w:hint="default" w:ascii="Times New Roman" w:hAnsi="Times New Roman" w:eastAsia="楷体_GB2312" w:cs="Times New Roman"/>
          <w:b/>
          <w:bCs/>
          <w:sz w:val="30"/>
          <w:szCs w:val="30"/>
        </w:rPr>
        <w:t>依申请公开。</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00" w:firstLineChars="200"/>
        <w:jc w:val="left"/>
        <w:textAlignment w:val="auto"/>
        <w:rPr>
          <w:rFonts w:hint="default" w:ascii="Times New Roman" w:hAnsi="Times New Roman" w:eastAsia="楷体_GB2312" w:cs="Times New Roman"/>
          <w:b/>
          <w:bCs/>
          <w:sz w:val="30"/>
          <w:szCs w:val="30"/>
        </w:rPr>
      </w:pPr>
      <w:r>
        <w:rPr>
          <w:rFonts w:hint="default" w:ascii="Times New Roman" w:hAnsi="Times New Roman" w:eastAsia="仿宋" w:cs="Times New Roman"/>
          <w:sz w:val="30"/>
          <w:szCs w:val="30"/>
          <w:lang w:eastAsia="zh-CN"/>
        </w:rPr>
        <w:t>我局不断加强和规范依申请公开工作，202</w:t>
      </w:r>
      <w:r>
        <w:rPr>
          <w:rFonts w:hint="default" w:ascii="Times New Roman" w:hAnsi="Times New Roman" w:eastAsia="仿宋" w:cs="Times New Roman"/>
          <w:sz w:val="30"/>
          <w:szCs w:val="30"/>
          <w:lang w:val="en-US" w:eastAsia="zh-CN"/>
        </w:rPr>
        <w:t>2</w:t>
      </w:r>
      <w:r>
        <w:rPr>
          <w:rFonts w:hint="default" w:ascii="Times New Roman" w:hAnsi="Times New Roman" w:eastAsia="仿宋" w:cs="Times New Roman"/>
          <w:sz w:val="30"/>
          <w:szCs w:val="30"/>
          <w:lang w:eastAsia="zh-CN"/>
        </w:rPr>
        <w:t>年未收到依申请公开政府信息。</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leftChars="0" w:firstLine="602" w:firstLineChars="200"/>
        <w:jc w:val="left"/>
        <w:textAlignment w:val="auto"/>
        <w:rPr>
          <w:rFonts w:hint="default" w:ascii="Times New Roman" w:hAnsi="Times New Roman" w:eastAsia="楷体_GB2312" w:cs="Times New Roman"/>
          <w:b/>
          <w:bCs/>
          <w:sz w:val="30"/>
          <w:szCs w:val="30"/>
        </w:rPr>
      </w:pPr>
      <w:r>
        <w:rPr>
          <w:rFonts w:hint="default" w:ascii="Times New Roman" w:hAnsi="Times New Roman" w:eastAsia="楷体_GB2312" w:cs="Times New Roman"/>
          <w:b/>
          <w:bCs/>
          <w:sz w:val="30"/>
          <w:szCs w:val="30"/>
        </w:rPr>
        <w:t>政府信息管理。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50" w:lineRule="atLeast"/>
        <w:ind w:left="0" w:right="0" w:firstLine="600" w:firstLineChars="200"/>
        <w:jc w:val="both"/>
        <w:textAlignment w:val="auto"/>
        <w:rPr>
          <w:rFonts w:hint="default" w:ascii="Times New Roman" w:hAnsi="Times New Roman" w:eastAsia="楷体_GB2312" w:cs="Times New Roman"/>
          <w:b/>
          <w:bCs/>
          <w:sz w:val="30"/>
          <w:szCs w:val="30"/>
          <w:shd w:val="clear" w:color="auto" w:fill="auto"/>
        </w:rPr>
      </w:pPr>
      <w:r>
        <w:rPr>
          <w:rFonts w:hint="default" w:ascii="Times New Roman" w:hAnsi="Times New Roman" w:eastAsia="仿宋" w:cs="Times New Roman"/>
          <w:kern w:val="2"/>
          <w:sz w:val="30"/>
          <w:szCs w:val="30"/>
          <w:shd w:val="clear" w:color="auto" w:fill="auto"/>
          <w:lang w:val="en-US" w:eastAsia="zh-CN" w:bidi="ar-SA"/>
        </w:rPr>
        <w:t>一是进一步完善政务信息常态化管理机制，建立健全政务信息制作、公开、存档等制度。二是进一步加强重要政务信息的管理。对区委、区政府制定的法规、行政规章、规范性文件进行集约化集中式公开，并按照立改废的要求，及时动态调整。</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leftChars="0" w:firstLine="602" w:firstLineChars="200"/>
        <w:jc w:val="left"/>
        <w:textAlignment w:val="auto"/>
        <w:rPr>
          <w:rFonts w:hint="default" w:ascii="Times New Roman" w:hAnsi="Times New Roman" w:eastAsia="楷体_GB2312" w:cs="Times New Roman"/>
          <w:b/>
          <w:bCs/>
          <w:sz w:val="30"/>
          <w:szCs w:val="30"/>
          <w:lang w:eastAsia="zh-CN"/>
        </w:rPr>
      </w:pPr>
      <w:r>
        <w:rPr>
          <w:rFonts w:hint="default" w:ascii="Times New Roman" w:hAnsi="Times New Roman" w:eastAsia="楷体_GB2312" w:cs="Times New Roman"/>
          <w:b/>
          <w:bCs/>
          <w:sz w:val="30"/>
          <w:szCs w:val="30"/>
        </w:rPr>
        <w:t>政府信息公开平台建设</w:t>
      </w:r>
      <w:r>
        <w:rPr>
          <w:rFonts w:hint="default" w:ascii="Times New Roman" w:hAnsi="Times New Roman" w:eastAsia="楷体_GB2312" w:cs="Times New Roman"/>
          <w:b/>
          <w:bCs/>
          <w:sz w:val="30"/>
          <w:szCs w:val="30"/>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jc w:val="left"/>
        <w:textAlignment w:val="auto"/>
        <w:rPr>
          <w:rFonts w:hint="default" w:ascii="Times New Roman" w:hAnsi="Times New Roman" w:eastAsia="仿宋" w:cs="Times New Roman"/>
          <w:sz w:val="30"/>
          <w:szCs w:val="30"/>
          <w:lang w:eastAsia="zh-CN"/>
        </w:rPr>
      </w:pPr>
      <w:r>
        <w:rPr>
          <w:rFonts w:hint="default" w:ascii="Times New Roman" w:hAnsi="Times New Roman" w:eastAsia="仿宋" w:cs="Times New Roman"/>
          <w:sz w:val="30"/>
          <w:szCs w:val="30"/>
          <w:lang w:eastAsia="zh-CN"/>
        </w:rPr>
        <w:t>积极推进政府信息平台建设，不断优化信息发布流程，完善信息公开手段，提升信息公开质量。围绕群众最关心的问题，对涉及城市管理和行政执法相关法律法规、民生、专业性强、公众关注度高的规范性文件，高效、灵活运用多种载体，采用通俗易懂、形式多样的宣传方式进行政策解读，切实满足群众多样化需求。</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leftChars="0" w:firstLine="602" w:firstLineChars="200"/>
        <w:jc w:val="left"/>
        <w:textAlignment w:val="auto"/>
        <w:rPr>
          <w:rFonts w:hint="default" w:ascii="Times New Roman" w:hAnsi="Times New Roman" w:eastAsia="楷体_GB2312" w:cs="Times New Roman"/>
          <w:b/>
          <w:bCs/>
          <w:sz w:val="30"/>
          <w:szCs w:val="30"/>
        </w:rPr>
      </w:pPr>
      <w:r>
        <w:rPr>
          <w:rFonts w:hint="default" w:ascii="Times New Roman" w:hAnsi="Times New Roman" w:eastAsia="楷体_GB2312" w:cs="Times New Roman"/>
          <w:b/>
          <w:bCs/>
          <w:sz w:val="30"/>
          <w:szCs w:val="30"/>
        </w:rPr>
        <w:t>监督保障。</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jc w:val="left"/>
        <w:textAlignment w:val="auto"/>
        <w:rPr>
          <w:rFonts w:hint="default" w:ascii="Times New Roman" w:hAnsi="Times New Roman" w:eastAsia="仿宋" w:cs="Times New Roman"/>
          <w:sz w:val="30"/>
          <w:szCs w:val="30"/>
          <w:lang w:eastAsia="zh-CN"/>
        </w:rPr>
      </w:pPr>
      <w:r>
        <w:rPr>
          <w:rFonts w:hint="default" w:ascii="Times New Roman" w:hAnsi="Times New Roman" w:eastAsia="仿宋" w:cs="Times New Roman"/>
          <w:sz w:val="30"/>
          <w:szCs w:val="30"/>
          <w:lang w:eastAsia="zh-CN"/>
        </w:rPr>
        <w:t>南谯区城管执法局高度重视，</w:t>
      </w:r>
      <w:r>
        <w:rPr>
          <w:rFonts w:hint="default" w:ascii="Times New Roman" w:hAnsi="Times New Roman" w:eastAsia="仿宋" w:cs="Times New Roman"/>
          <w:sz w:val="30"/>
          <w:szCs w:val="30"/>
          <w:lang w:val="en-US" w:eastAsia="zh-CN"/>
        </w:rPr>
        <w:t>把做好政府信息公开工作列入重要议事日程。为加强对</w:t>
      </w:r>
      <w:bookmarkStart w:id="0" w:name="_GoBack"/>
      <w:bookmarkEnd w:id="0"/>
      <w:r>
        <w:rPr>
          <w:rFonts w:hint="default" w:ascii="Times New Roman" w:hAnsi="Times New Roman" w:eastAsia="仿宋" w:cs="Times New Roman"/>
          <w:sz w:val="30"/>
          <w:szCs w:val="30"/>
          <w:lang w:val="en-US" w:eastAsia="zh-CN"/>
        </w:rPr>
        <w:t>政府信息公开工作的领导，确保工作顺利推进，</w:t>
      </w:r>
      <w:r>
        <w:rPr>
          <w:rFonts w:hint="default" w:ascii="Times New Roman" w:hAnsi="Times New Roman" w:eastAsia="仿宋" w:cs="Times New Roman"/>
          <w:sz w:val="30"/>
          <w:szCs w:val="30"/>
          <w:lang w:eastAsia="zh-CN"/>
        </w:rPr>
        <w:t>保证政府信息公开工作落到实处。为进一步提高政务公开工作水平，南谯区城管执法局政务公开领导小组</w:t>
      </w:r>
      <w:r>
        <w:rPr>
          <w:rFonts w:hint="default" w:ascii="Times New Roman" w:hAnsi="Times New Roman" w:eastAsia="仿宋" w:cs="Times New Roman"/>
          <w:sz w:val="30"/>
          <w:szCs w:val="30"/>
          <w:lang w:val="en-US" w:eastAsia="zh-CN"/>
        </w:rPr>
        <w:t>定期召开会议，总结、研究、部署信息公开工作，切实保障此项工作顺利开展。建立健全信息公开制度，对信息公开栏目根据各股室职责进行分解落实，明确了信息公开的责任、义务和流程，形成了“主要领导亲自抓，分管领导具体抓，职能股室抓落实”的工作机制，及时协调解决工作中的问题。</w:t>
      </w:r>
      <w:r>
        <w:rPr>
          <w:rFonts w:hint="default" w:ascii="Times New Roman" w:hAnsi="Times New Roman" w:eastAsia="仿宋" w:cs="Times New Roman"/>
          <w:sz w:val="30"/>
          <w:szCs w:val="30"/>
          <w:lang w:eastAsia="zh-CN"/>
        </w:rPr>
        <w:t>要求各相关股室认真学习国家、省、市、区政务公开工作要求，进一步领会政策精神，在区政务公开办的直接指导下，切实做好政府信息公开有关工作。</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sz w:val="21"/>
          <w:szCs w:val="21"/>
          <w:lang w:eastAsia="zh-CN"/>
        </w:rPr>
      </w:pP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eastAsia" w:ascii="黑体" w:hAnsi="黑体" w:eastAsia="黑体" w:cs="黑体"/>
          <w:sz w:val="30"/>
          <w:szCs w:val="30"/>
        </w:rPr>
      </w:pPr>
      <w:r>
        <w:rPr>
          <w:rFonts w:hint="eastAsia" w:ascii="黑体" w:hAnsi="黑体" w:eastAsia="黑体" w:cs="黑体"/>
          <w:sz w:val="30"/>
          <w:szCs w:val="30"/>
        </w:rPr>
        <w:t>二、主动公开政府信息情况</w:t>
      </w:r>
    </w:p>
    <w:p>
      <w:pPr>
        <w:jc w:val="center"/>
        <w:rPr>
          <w:rFonts w:hint="eastAsia"/>
        </w:rPr>
      </w:pPr>
    </w:p>
    <w:tbl>
      <w:tblPr>
        <w:tblStyle w:val="3"/>
        <w:tblW w:w="8140" w:type="dxa"/>
        <w:jc w:val="center"/>
        <w:tblLayout w:type="fixed"/>
        <w:tblCellMar>
          <w:top w:w="0" w:type="dxa"/>
          <w:left w:w="0" w:type="dxa"/>
          <w:bottom w:w="0" w:type="dxa"/>
          <w:right w:w="0" w:type="dxa"/>
        </w:tblCellMar>
      </w:tblPr>
      <w:tblGrid>
        <w:gridCol w:w="3113"/>
        <w:gridCol w:w="1685"/>
        <w:gridCol w:w="1664"/>
        <w:gridCol w:w="1678"/>
      </w:tblGrid>
      <w:tr>
        <w:tblPrEx>
          <w:tblCellMar>
            <w:top w:w="0" w:type="dxa"/>
            <w:left w:w="0" w:type="dxa"/>
            <w:bottom w:w="0" w:type="dxa"/>
            <w:right w:w="0" w:type="dxa"/>
          </w:tblCellMar>
        </w:tblPrEx>
        <w:trPr>
          <w:trHeight w:val="482" w:hRule="atLeast"/>
          <w:jc w:val="center"/>
        </w:trPr>
        <w:tc>
          <w:tcPr>
            <w:tcW w:w="8140" w:type="dxa"/>
            <w:gridSpan w:val="4"/>
            <w:tcBorders>
              <w:top w:val="single" w:color="auto" w:sz="8" w:space="0"/>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kern w:val="0"/>
                <w:sz w:val="24"/>
              </w:rPr>
            </w:pPr>
            <w:r>
              <w:rPr>
                <w:rFonts w:hAnsi="宋体"/>
                <w:kern w:val="0"/>
                <w:sz w:val="20"/>
                <w:szCs w:val="20"/>
              </w:rPr>
              <w:t>第二十条第（一）项</w:t>
            </w:r>
          </w:p>
        </w:tc>
      </w:tr>
      <w:tr>
        <w:tblPrEx>
          <w:tblCellMar>
            <w:top w:w="0" w:type="dxa"/>
            <w:left w:w="0" w:type="dxa"/>
            <w:bottom w:w="0" w:type="dxa"/>
            <w:right w:w="0" w:type="dxa"/>
          </w:tblCellMar>
        </w:tblPrEx>
        <w:trPr>
          <w:trHeight w:val="482"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kern w:val="0"/>
                <w:sz w:val="24"/>
              </w:rPr>
            </w:pPr>
            <w:r>
              <w:rPr>
                <w:rFonts w:hAnsi="宋体"/>
                <w:kern w:val="0"/>
                <w:sz w:val="20"/>
                <w:szCs w:val="20"/>
              </w:rPr>
              <w:t>信息内容</w:t>
            </w:r>
          </w:p>
        </w:tc>
        <w:tc>
          <w:tcPr>
            <w:tcW w:w="1685"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default" w:eastAsiaTheme="minorEastAsia"/>
                <w:kern w:val="0"/>
                <w:sz w:val="24"/>
                <w:lang w:val="en-US" w:eastAsia="zh-CN"/>
              </w:rPr>
            </w:pPr>
            <w:r>
              <w:rPr>
                <w:rFonts w:hAnsi="宋体"/>
                <w:kern w:val="0"/>
                <w:sz w:val="20"/>
                <w:szCs w:val="20"/>
              </w:rPr>
              <w:t>本年制</w:t>
            </w:r>
            <w:r>
              <w:rPr>
                <w:rFonts w:hint="eastAsia" w:hAnsi="宋体"/>
                <w:kern w:val="0"/>
                <w:sz w:val="20"/>
                <w:szCs w:val="20"/>
                <w:lang w:val="en-US" w:eastAsia="zh-CN"/>
              </w:rPr>
              <w:t>发件数</w:t>
            </w:r>
          </w:p>
        </w:tc>
        <w:tc>
          <w:tcPr>
            <w:tcW w:w="166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eastAsiaTheme="minorEastAsia"/>
                <w:kern w:val="0"/>
                <w:sz w:val="24"/>
                <w:lang w:val="en-US" w:eastAsia="zh-CN"/>
              </w:rPr>
            </w:pPr>
            <w:r>
              <w:rPr>
                <w:rFonts w:hAnsi="宋体"/>
                <w:kern w:val="0"/>
                <w:sz w:val="20"/>
                <w:szCs w:val="20"/>
              </w:rPr>
              <w:t>本年</w:t>
            </w:r>
            <w:r>
              <w:rPr>
                <w:rFonts w:hint="eastAsia" w:hAnsi="宋体"/>
                <w:kern w:val="0"/>
                <w:sz w:val="20"/>
                <w:szCs w:val="20"/>
                <w:lang w:val="en-US" w:eastAsia="zh-CN"/>
              </w:rPr>
              <w:t>废止件数</w:t>
            </w:r>
          </w:p>
        </w:tc>
        <w:tc>
          <w:tcPr>
            <w:tcW w:w="1678"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eastAsiaTheme="minorEastAsia"/>
                <w:kern w:val="0"/>
                <w:sz w:val="24"/>
                <w:lang w:eastAsia="zh-CN"/>
              </w:rPr>
            </w:pPr>
            <w:r>
              <w:rPr>
                <w:rFonts w:hint="eastAsia" w:hAnsi="宋体"/>
                <w:kern w:val="0"/>
                <w:sz w:val="20"/>
                <w:szCs w:val="20"/>
                <w:lang w:val="en-US" w:eastAsia="zh-CN"/>
              </w:rPr>
              <w:t>现行有效件数</w:t>
            </w:r>
          </w:p>
        </w:tc>
      </w:tr>
      <w:tr>
        <w:tblPrEx>
          <w:tblCellMar>
            <w:top w:w="0" w:type="dxa"/>
            <w:left w:w="0" w:type="dxa"/>
            <w:bottom w:w="0" w:type="dxa"/>
            <w:right w:w="0" w:type="dxa"/>
          </w:tblCellMar>
        </w:tblPrEx>
        <w:trPr>
          <w:trHeight w:val="482"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kern w:val="0"/>
                <w:sz w:val="24"/>
              </w:rPr>
            </w:pPr>
            <w:r>
              <w:rPr>
                <w:rFonts w:hAnsi="宋体"/>
                <w:kern w:val="0"/>
                <w:sz w:val="20"/>
                <w:szCs w:val="20"/>
              </w:rPr>
              <w:t>规章</w:t>
            </w:r>
          </w:p>
        </w:tc>
        <w:tc>
          <w:tcPr>
            <w:tcW w:w="168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kern w:val="0"/>
                <w:sz w:val="24"/>
              </w:rPr>
            </w:pPr>
            <w:r>
              <w:rPr>
                <w:kern w:val="0"/>
                <w:sz w:val="20"/>
                <w:szCs w:val="20"/>
              </w:rPr>
              <w:t>0</w:t>
            </w:r>
          </w:p>
        </w:tc>
        <w:tc>
          <w:tcPr>
            <w:tcW w:w="166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kern w:val="0"/>
                <w:sz w:val="20"/>
                <w:szCs w:val="20"/>
              </w:rPr>
              <w:t>0</w:t>
            </w:r>
          </w:p>
        </w:tc>
        <w:tc>
          <w:tcPr>
            <w:tcW w:w="1678"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kern w:val="0"/>
                <w:sz w:val="24"/>
              </w:rPr>
            </w:pPr>
            <w:r>
              <w:rPr>
                <w:kern w:val="0"/>
                <w:sz w:val="20"/>
                <w:szCs w:val="20"/>
              </w:rPr>
              <w:t>0</w:t>
            </w:r>
          </w:p>
        </w:tc>
      </w:tr>
      <w:tr>
        <w:tblPrEx>
          <w:tblCellMar>
            <w:top w:w="0" w:type="dxa"/>
            <w:left w:w="0" w:type="dxa"/>
            <w:bottom w:w="0" w:type="dxa"/>
            <w:right w:w="0" w:type="dxa"/>
          </w:tblCellMar>
        </w:tblPrEx>
        <w:trPr>
          <w:trHeight w:val="482"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kern w:val="0"/>
                <w:sz w:val="24"/>
              </w:rPr>
            </w:pPr>
            <w:r>
              <w:rPr>
                <w:rFonts w:hAnsi="宋体"/>
                <w:kern w:val="0"/>
                <w:sz w:val="20"/>
                <w:szCs w:val="20"/>
              </w:rPr>
              <w:t>规范性文件</w:t>
            </w:r>
          </w:p>
        </w:tc>
        <w:tc>
          <w:tcPr>
            <w:tcW w:w="168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eastAsiaTheme="minorEastAsia"/>
                <w:kern w:val="0"/>
                <w:sz w:val="20"/>
                <w:szCs w:val="20"/>
                <w:lang w:val="en-US" w:eastAsia="zh-CN"/>
              </w:rPr>
            </w:pPr>
            <w:r>
              <w:rPr>
                <w:rFonts w:hint="eastAsia"/>
                <w:kern w:val="0"/>
                <w:sz w:val="20"/>
                <w:szCs w:val="20"/>
                <w:lang w:val="en-US" w:eastAsia="zh-CN"/>
              </w:rPr>
              <w:t>0</w:t>
            </w:r>
          </w:p>
        </w:tc>
        <w:tc>
          <w:tcPr>
            <w:tcW w:w="166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0"/>
                <w:szCs w:val="20"/>
                <w:lang w:val="en-US" w:eastAsia="zh-CN"/>
              </w:rPr>
            </w:pPr>
            <w:r>
              <w:rPr>
                <w:rFonts w:hint="eastAsia"/>
                <w:kern w:val="0"/>
                <w:sz w:val="20"/>
                <w:szCs w:val="20"/>
                <w:lang w:val="en-US" w:eastAsia="zh-CN"/>
              </w:rPr>
              <w:t>0</w:t>
            </w:r>
          </w:p>
        </w:tc>
        <w:tc>
          <w:tcPr>
            <w:tcW w:w="1678"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eastAsiaTheme="minorEastAsia"/>
                <w:kern w:val="0"/>
                <w:sz w:val="20"/>
                <w:szCs w:val="20"/>
                <w:lang w:val="en-US" w:eastAsia="zh-CN"/>
              </w:rPr>
            </w:pPr>
            <w:r>
              <w:rPr>
                <w:rFonts w:hint="eastAsia"/>
                <w:kern w:val="0"/>
                <w:sz w:val="20"/>
                <w:szCs w:val="20"/>
                <w:lang w:val="en-US" w:eastAsia="zh-CN"/>
              </w:rPr>
              <w:t>0</w:t>
            </w:r>
          </w:p>
        </w:tc>
      </w:tr>
      <w:tr>
        <w:tblPrEx>
          <w:tblCellMar>
            <w:top w:w="0" w:type="dxa"/>
            <w:left w:w="0" w:type="dxa"/>
            <w:bottom w:w="0" w:type="dxa"/>
            <w:right w:w="0" w:type="dxa"/>
          </w:tblCellMar>
        </w:tblPrEx>
        <w:trPr>
          <w:trHeight w:val="482" w:hRule="atLeast"/>
          <w:jc w:val="center"/>
        </w:trPr>
        <w:tc>
          <w:tcPr>
            <w:tcW w:w="8140"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kern w:val="0"/>
                <w:sz w:val="24"/>
              </w:rPr>
            </w:pPr>
            <w:r>
              <w:rPr>
                <w:rFonts w:hAnsi="宋体"/>
                <w:kern w:val="0"/>
                <w:sz w:val="20"/>
                <w:szCs w:val="20"/>
              </w:rPr>
              <w:t>第二十条第（五）项</w:t>
            </w:r>
          </w:p>
        </w:tc>
      </w:tr>
      <w:tr>
        <w:tblPrEx>
          <w:tblCellMar>
            <w:top w:w="0" w:type="dxa"/>
            <w:left w:w="0" w:type="dxa"/>
            <w:bottom w:w="0" w:type="dxa"/>
            <w:right w:w="0" w:type="dxa"/>
          </w:tblCellMar>
        </w:tblPrEx>
        <w:trPr>
          <w:trHeight w:val="482"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kern w:val="0"/>
                <w:sz w:val="24"/>
              </w:rPr>
            </w:pPr>
            <w:r>
              <w:rPr>
                <w:rFonts w:hAnsi="宋体"/>
                <w:kern w:val="0"/>
                <w:sz w:val="20"/>
                <w:szCs w:val="20"/>
              </w:rPr>
              <w:t>信息内容</w:t>
            </w:r>
          </w:p>
        </w:tc>
        <w:tc>
          <w:tcPr>
            <w:tcW w:w="5027" w:type="dxa"/>
            <w:gridSpan w:val="3"/>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kern w:val="0"/>
                <w:sz w:val="24"/>
              </w:rPr>
            </w:pPr>
            <w:r>
              <w:rPr>
                <w:rFonts w:hAnsi="宋体"/>
                <w:kern w:val="0"/>
                <w:sz w:val="20"/>
                <w:szCs w:val="20"/>
              </w:rPr>
              <w:t>本年处理决定数量</w:t>
            </w:r>
          </w:p>
        </w:tc>
      </w:tr>
      <w:tr>
        <w:tblPrEx>
          <w:tblCellMar>
            <w:top w:w="0" w:type="dxa"/>
            <w:left w:w="0" w:type="dxa"/>
            <w:bottom w:w="0" w:type="dxa"/>
            <w:right w:w="0" w:type="dxa"/>
          </w:tblCellMar>
        </w:tblPrEx>
        <w:trPr>
          <w:trHeight w:val="482" w:hRule="atLeast"/>
          <w:jc w:val="center"/>
        </w:trPr>
        <w:tc>
          <w:tcPr>
            <w:tcW w:w="3113" w:type="dxa"/>
            <w:tcBorders>
              <w:top w:val="nil"/>
              <w:left w:val="single" w:color="auto" w:sz="8" w:space="0"/>
              <w:bottom w:val="single" w:color="auto" w:sz="8" w:space="0"/>
              <w:right w:val="single" w:color="auto" w:sz="8" w:space="0"/>
            </w:tcBorders>
            <w:noWrap/>
            <w:vAlign w:val="center"/>
          </w:tcPr>
          <w:p>
            <w:pPr>
              <w:widowControl/>
              <w:jc w:val="left"/>
              <w:rPr>
                <w:kern w:val="0"/>
                <w:sz w:val="24"/>
              </w:rPr>
            </w:pPr>
            <w:r>
              <w:rPr>
                <w:rFonts w:hAnsi="宋体"/>
                <w:kern w:val="0"/>
                <w:sz w:val="20"/>
                <w:szCs w:val="20"/>
              </w:rPr>
              <w:t>行政许可</w:t>
            </w:r>
          </w:p>
        </w:tc>
        <w:tc>
          <w:tcPr>
            <w:tcW w:w="5027" w:type="dxa"/>
            <w:gridSpan w:val="3"/>
            <w:tcBorders>
              <w:top w:val="nil"/>
              <w:left w:val="nil"/>
              <w:bottom w:val="single" w:color="auto" w:sz="8" w:space="0"/>
              <w:right w:val="single" w:color="auto" w:sz="8" w:space="0"/>
            </w:tcBorders>
            <w:noWrap/>
            <w:vAlign w:val="center"/>
          </w:tcPr>
          <w:p>
            <w:pPr>
              <w:widowControl/>
              <w:jc w:val="center"/>
              <w:rPr>
                <w:kern w:val="0"/>
                <w:sz w:val="20"/>
                <w:szCs w:val="20"/>
              </w:rPr>
            </w:pPr>
            <w:r>
              <w:rPr>
                <w:rFonts w:hint="eastAsia"/>
                <w:kern w:val="0"/>
                <w:sz w:val="20"/>
                <w:szCs w:val="20"/>
                <w:lang w:val="en-US" w:eastAsia="zh-CN"/>
              </w:rPr>
              <w:t>1367</w:t>
            </w:r>
          </w:p>
        </w:tc>
      </w:tr>
      <w:tr>
        <w:tblPrEx>
          <w:tblCellMar>
            <w:top w:w="0" w:type="dxa"/>
            <w:left w:w="0" w:type="dxa"/>
            <w:bottom w:w="0" w:type="dxa"/>
            <w:right w:w="0" w:type="dxa"/>
          </w:tblCellMar>
        </w:tblPrEx>
        <w:trPr>
          <w:trHeight w:val="482" w:hRule="atLeast"/>
          <w:jc w:val="center"/>
        </w:trPr>
        <w:tc>
          <w:tcPr>
            <w:tcW w:w="8140"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kern w:val="0"/>
                <w:sz w:val="24"/>
              </w:rPr>
            </w:pPr>
            <w:r>
              <w:rPr>
                <w:rFonts w:hAnsi="宋体"/>
                <w:kern w:val="0"/>
                <w:sz w:val="20"/>
                <w:szCs w:val="20"/>
              </w:rPr>
              <w:t>第二十条第（六）项</w:t>
            </w:r>
          </w:p>
        </w:tc>
      </w:tr>
      <w:tr>
        <w:tblPrEx>
          <w:tblCellMar>
            <w:top w:w="0" w:type="dxa"/>
            <w:left w:w="0" w:type="dxa"/>
            <w:bottom w:w="0" w:type="dxa"/>
            <w:right w:w="0" w:type="dxa"/>
          </w:tblCellMar>
        </w:tblPrEx>
        <w:trPr>
          <w:trHeight w:val="482"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kern w:val="0"/>
                <w:sz w:val="24"/>
              </w:rPr>
            </w:pPr>
            <w:r>
              <w:rPr>
                <w:rFonts w:hAnsi="宋体"/>
                <w:kern w:val="0"/>
                <w:sz w:val="20"/>
                <w:szCs w:val="20"/>
              </w:rPr>
              <w:t>信息内容</w:t>
            </w:r>
          </w:p>
        </w:tc>
        <w:tc>
          <w:tcPr>
            <w:tcW w:w="5027" w:type="dxa"/>
            <w:gridSpan w:val="3"/>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kern w:val="0"/>
                <w:sz w:val="24"/>
              </w:rPr>
            </w:pPr>
            <w:r>
              <w:rPr>
                <w:rFonts w:hAnsi="宋体"/>
                <w:kern w:val="0"/>
                <w:sz w:val="20"/>
                <w:szCs w:val="20"/>
              </w:rPr>
              <w:t>本年处理决定数量</w:t>
            </w:r>
          </w:p>
        </w:tc>
      </w:tr>
      <w:tr>
        <w:tblPrEx>
          <w:tblCellMar>
            <w:top w:w="0" w:type="dxa"/>
            <w:left w:w="0" w:type="dxa"/>
            <w:bottom w:w="0" w:type="dxa"/>
            <w:right w:w="0" w:type="dxa"/>
          </w:tblCellMar>
        </w:tblPrEx>
        <w:trPr>
          <w:trHeight w:val="482" w:hRule="atLeast"/>
          <w:jc w:val="center"/>
        </w:trPr>
        <w:tc>
          <w:tcPr>
            <w:tcW w:w="3113" w:type="dxa"/>
            <w:tcBorders>
              <w:top w:val="nil"/>
              <w:left w:val="single" w:color="auto" w:sz="8" w:space="0"/>
              <w:bottom w:val="single" w:color="auto" w:sz="8" w:space="0"/>
              <w:right w:val="single" w:color="auto" w:sz="8" w:space="0"/>
            </w:tcBorders>
            <w:noWrap/>
            <w:vAlign w:val="center"/>
          </w:tcPr>
          <w:p>
            <w:pPr>
              <w:widowControl/>
              <w:jc w:val="left"/>
              <w:rPr>
                <w:kern w:val="0"/>
                <w:sz w:val="24"/>
              </w:rPr>
            </w:pPr>
            <w:r>
              <w:rPr>
                <w:rFonts w:hAnsi="宋体"/>
                <w:kern w:val="0"/>
                <w:sz w:val="20"/>
                <w:szCs w:val="20"/>
              </w:rPr>
              <w:t>行政处罚</w:t>
            </w:r>
          </w:p>
        </w:tc>
        <w:tc>
          <w:tcPr>
            <w:tcW w:w="5027" w:type="dxa"/>
            <w:gridSpan w:val="3"/>
            <w:tcBorders>
              <w:top w:val="nil"/>
              <w:left w:val="nil"/>
              <w:bottom w:val="single" w:color="auto" w:sz="8" w:space="0"/>
              <w:right w:val="single" w:color="auto" w:sz="8" w:space="0"/>
            </w:tcBorders>
            <w:noWrap/>
            <w:vAlign w:val="center"/>
          </w:tcPr>
          <w:p>
            <w:pPr>
              <w:widowControl/>
              <w:jc w:val="center"/>
              <w:rPr>
                <w:kern w:val="0"/>
                <w:sz w:val="20"/>
                <w:szCs w:val="20"/>
              </w:rPr>
            </w:pPr>
            <w:r>
              <w:rPr>
                <w:rFonts w:hint="eastAsia"/>
                <w:kern w:val="0"/>
                <w:sz w:val="20"/>
                <w:szCs w:val="20"/>
                <w:lang w:val="en-US" w:eastAsia="zh-CN"/>
              </w:rPr>
              <w:t>58</w:t>
            </w:r>
          </w:p>
        </w:tc>
      </w:tr>
      <w:tr>
        <w:tblPrEx>
          <w:tblCellMar>
            <w:top w:w="0" w:type="dxa"/>
            <w:left w:w="0" w:type="dxa"/>
            <w:bottom w:w="0" w:type="dxa"/>
            <w:right w:w="0" w:type="dxa"/>
          </w:tblCellMar>
        </w:tblPrEx>
        <w:trPr>
          <w:trHeight w:val="482" w:hRule="atLeast"/>
          <w:jc w:val="center"/>
        </w:trPr>
        <w:tc>
          <w:tcPr>
            <w:tcW w:w="3113" w:type="dxa"/>
            <w:tcBorders>
              <w:top w:val="nil"/>
              <w:left w:val="single" w:color="auto" w:sz="8" w:space="0"/>
              <w:bottom w:val="single" w:color="auto" w:sz="8" w:space="0"/>
              <w:right w:val="single" w:color="auto" w:sz="8" w:space="0"/>
            </w:tcBorders>
            <w:noWrap/>
            <w:vAlign w:val="center"/>
          </w:tcPr>
          <w:p>
            <w:pPr>
              <w:widowControl/>
              <w:jc w:val="left"/>
              <w:rPr>
                <w:kern w:val="0"/>
                <w:sz w:val="24"/>
              </w:rPr>
            </w:pPr>
            <w:r>
              <w:rPr>
                <w:rFonts w:hAnsi="宋体"/>
                <w:kern w:val="0"/>
                <w:sz w:val="20"/>
                <w:szCs w:val="20"/>
              </w:rPr>
              <w:t>行政强制</w:t>
            </w:r>
          </w:p>
        </w:tc>
        <w:tc>
          <w:tcPr>
            <w:tcW w:w="5027" w:type="dxa"/>
            <w:gridSpan w:val="3"/>
            <w:tcBorders>
              <w:top w:val="nil"/>
              <w:left w:val="nil"/>
              <w:bottom w:val="single" w:color="auto" w:sz="8" w:space="0"/>
              <w:right w:val="single" w:color="auto" w:sz="8" w:space="0"/>
            </w:tcBorders>
            <w:noWrap/>
            <w:vAlign w:val="center"/>
          </w:tcPr>
          <w:p>
            <w:pPr>
              <w:widowControl/>
              <w:jc w:val="center"/>
              <w:rPr>
                <w:rFonts w:hint="eastAsia" w:eastAsiaTheme="minorEastAsia"/>
                <w:kern w:val="0"/>
                <w:sz w:val="20"/>
                <w:szCs w:val="20"/>
                <w:lang w:val="en-US" w:eastAsia="zh-CN"/>
              </w:rPr>
            </w:pPr>
            <w:r>
              <w:rPr>
                <w:rFonts w:hint="eastAsia"/>
                <w:kern w:val="0"/>
                <w:sz w:val="20"/>
                <w:szCs w:val="20"/>
                <w:lang w:val="en-US" w:eastAsia="zh-CN"/>
              </w:rPr>
              <w:t>0</w:t>
            </w:r>
          </w:p>
        </w:tc>
      </w:tr>
      <w:tr>
        <w:tblPrEx>
          <w:tblCellMar>
            <w:top w:w="0" w:type="dxa"/>
            <w:left w:w="0" w:type="dxa"/>
            <w:bottom w:w="0" w:type="dxa"/>
            <w:right w:w="0" w:type="dxa"/>
          </w:tblCellMar>
        </w:tblPrEx>
        <w:trPr>
          <w:trHeight w:val="482" w:hRule="atLeast"/>
          <w:jc w:val="center"/>
        </w:trPr>
        <w:tc>
          <w:tcPr>
            <w:tcW w:w="8140"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kern w:val="0"/>
                <w:sz w:val="24"/>
              </w:rPr>
            </w:pPr>
            <w:r>
              <w:rPr>
                <w:rFonts w:hAnsi="宋体"/>
                <w:kern w:val="0"/>
                <w:sz w:val="20"/>
                <w:szCs w:val="20"/>
              </w:rPr>
              <w:t>第二十条第（八）项</w:t>
            </w:r>
          </w:p>
        </w:tc>
      </w:tr>
      <w:tr>
        <w:tblPrEx>
          <w:tblCellMar>
            <w:top w:w="0" w:type="dxa"/>
            <w:left w:w="0" w:type="dxa"/>
            <w:bottom w:w="0" w:type="dxa"/>
            <w:right w:w="0" w:type="dxa"/>
          </w:tblCellMar>
        </w:tblPrEx>
        <w:trPr>
          <w:trHeight w:val="482"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kern w:val="0"/>
                <w:sz w:val="24"/>
              </w:rPr>
            </w:pPr>
            <w:r>
              <w:rPr>
                <w:rFonts w:hAnsi="宋体"/>
                <w:kern w:val="0"/>
                <w:sz w:val="20"/>
                <w:szCs w:val="20"/>
              </w:rPr>
              <w:t>信息内容</w:t>
            </w:r>
          </w:p>
        </w:tc>
        <w:tc>
          <w:tcPr>
            <w:tcW w:w="5027" w:type="dxa"/>
            <w:gridSpan w:val="3"/>
            <w:tcBorders>
              <w:top w:val="nil"/>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hint="default" w:eastAsiaTheme="minorEastAsia"/>
                <w:kern w:val="0"/>
                <w:sz w:val="24"/>
                <w:lang w:val="en-US" w:eastAsia="zh-CN"/>
              </w:rPr>
            </w:pPr>
            <w:r>
              <w:rPr>
                <w:rFonts w:hint="eastAsia" w:hAnsi="宋体"/>
                <w:kern w:val="0"/>
                <w:sz w:val="20"/>
                <w:szCs w:val="20"/>
                <w:lang w:val="en-US" w:eastAsia="zh-CN"/>
              </w:rPr>
              <w:t>本年收费金额（单位：万元）</w:t>
            </w:r>
          </w:p>
        </w:tc>
      </w:tr>
      <w:tr>
        <w:tblPrEx>
          <w:tblCellMar>
            <w:top w:w="0" w:type="dxa"/>
            <w:left w:w="0" w:type="dxa"/>
            <w:bottom w:w="0" w:type="dxa"/>
            <w:right w:w="0" w:type="dxa"/>
          </w:tblCellMar>
        </w:tblPrEx>
        <w:trPr>
          <w:trHeight w:val="482"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kern w:val="0"/>
                <w:sz w:val="24"/>
              </w:rPr>
            </w:pPr>
            <w:r>
              <w:rPr>
                <w:rFonts w:hAnsi="宋体"/>
                <w:kern w:val="0"/>
                <w:sz w:val="20"/>
                <w:szCs w:val="20"/>
              </w:rPr>
              <w:t>行政事业性收费</w:t>
            </w:r>
          </w:p>
        </w:tc>
        <w:tc>
          <w:tcPr>
            <w:tcW w:w="5027" w:type="dxa"/>
            <w:gridSpan w:val="3"/>
            <w:tcBorders>
              <w:top w:val="nil"/>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hint="eastAsia" w:eastAsiaTheme="minorEastAsia"/>
                <w:kern w:val="0"/>
                <w:sz w:val="20"/>
                <w:szCs w:val="20"/>
                <w:lang w:val="en-US" w:eastAsia="zh-CN"/>
              </w:rPr>
            </w:pPr>
            <w:r>
              <w:rPr>
                <w:rFonts w:hint="eastAsia"/>
                <w:kern w:val="0"/>
                <w:sz w:val="20"/>
                <w:szCs w:val="20"/>
                <w:lang w:val="en-US" w:eastAsia="zh-CN"/>
              </w:rPr>
              <w:t>0</w:t>
            </w:r>
          </w:p>
        </w:tc>
      </w:tr>
    </w:tbl>
    <w:p>
      <w:pPr>
        <w:jc w:val="center"/>
        <w:rPr>
          <w:rFonts w:hint="eastAsia"/>
        </w:rPr>
      </w:pPr>
    </w:p>
    <w:p>
      <w:pPr>
        <w:jc w:val="left"/>
        <w:rPr>
          <w:rFonts w:hint="eastAsia" w:ascii="黑体" w:hAnsi="黑体" w:eastAsia="黑体" w:cs="黑体"/>
          <w:sz w:val="30"/>
          <w:szCs w:val="30"/>
        </w:rPr>
      </w:pPr>
      <w:r>
        <w:rPr>
          <w:rFonts w:hint="eastAsia" w:ascii="黑体" w:hAnsi="黑体" w:eastAsia="黑体" w:cs="黑体"/>
          <w:sz w:val="30"/>
          <w:szCs w:val="30"/>
        </w:rPr>
        <w:t>三、收到和处理政府信息公开申请情况</w:t>
      </w:r>
    </w:p>
    <w:p>
      <w:pPr>
        <w:jc w:val="center"/>
        <w:rPr>
          <w:rFonts w:hint="eastAsia"/>
        </w:rPr>
      </w:pPr>
    </w:p>
    <w:tbl>
      <w:tblPr>
        <w:tblStyle w:val="3"/>
        <w:tblW w:w="9071" w:type="dxa"/>
        <w:jc w:val="center"/>
        <w:tblLayout w:type="fixed"/>
        <w:tblCellMar>
          <w:top w:w="0" w:type="dxa"/>
          <w:left w:w="0" w:type="dxa"/>
          <w:bottom w:w="0" w:type="dxa"/>
          <w:right w:w="0" w:type="dxa"/>
        </w:tblCellMar>
      </w:tblPr>
      <w:tblGrid>
        <w:gridCol w:w="494"/>
        <w:gridCol w:w="708"/>
        <w:gridCol w:w="2277"/>
        <w:gridCol w:w="825"/>
        <w:gridCol w:w="765"/>
        <w:gridCol w:w="765"/>
        <w:gridCol w:w="825"/>
        <w:gridCol w:w="903"/>
        <w:gridCol w:w="807"/>
        <w:gridCol w:w="702"/>
      </w:tblGrid>
      <w:tr>
        <w:tblPrEx>
          <w:tblCellMar>
            <w:top w:w="0" w:type="dxa"/>
            <w:left w:w="0" w:type="dxa"/>
            <w:bottom w:w="0" w:type="dxa"/>
            <w:right w:w="0" w:type="dxa"/>
          </w:tblCellMar>
        </w:tblPrEx>
        <w:trPr>
          <w:jc w:val="center"/>
        </w:trPr>
        <w:tc>
          <w:tcPr>
            <w:tcW w:w="3479" w:type="dxa"/>
            <w:gridSpan w:val="3"/>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Ansi="宋体"/>
                <w:kern w:val="0"/>
                <w:sz w:val="20"/>
                <w:szCs w:val="20"/>
              </w:rPr>
              <w:t>（本列数据的勾稽关系为：第一项加第二项之和，等于第三项加第四项之和）</w:t>
            </w:r>
          </w:p>
        </w:tc>
        <w:tc>
          <w:tcPr>
            <w:tcW w:w="5592" w:type="dxa"/>
            <w:gridSpan w:val="7"/>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Ansi="宋体"/>
                <w:kern w:val="0"/>
                <w:sz w:val="20"/>
                <w:szCs w:val="20"/>
              </w:rPr>
              <w:t>申请人情况</w:t>
            </w:r>
          </w:p>
        </w:tc>
      </w:tr>
      <w:tr>
        <w:tblPrEx>
          <w:tblCellMar>
            <w:top w:w="0" w:type="dxa"/>
            <w:left w:w="0" w:type="dxa"/>
            <w:bottom w:w="0" w:type="dxa"/>
            <w:right w:w="0" w:type="dxa"/>
          </w:tblCellMar>
        </w:tblPrEx>
        <w:trPr>
          <w:jc w:val="center"/>
        </w:trPr>
        <w:tc>
          <w:tcPr>
            <w:tcW w:w="3479" w:type="dxa"/>
            <w:gridSpan w:val="3"/>
            <w:vMerge w:val="continue"/>
            <w:tcBorders>
              <w:top w:val="single" w:color="auto" w:sz="8" w:space="0"/>
              <w:left w:val="single" w:color="auto" w:sz="8" w:space="0"/>
              <w:bottom w:val="single" w:color="auto" w:sz="8" w:space="0"/>
              <w:right w:val="single" w:color="auto" w:sz="8" w:space="0"/>
            </w:tcBorders>
            <w:vAlign w:val="center"/>
          </w:tcPr>
          <w:p>
            <w:pPr>
              <w:widowControl/>
              <w:jc w:val="left"/>
              <w:rPr>
                <w:kern w:val="0"/>
                <w:sz w:val="24"/>
              </w:rPr>
            </w:pPr>
          </w:p>
        </w:tc>
        <w:tc>
          <w:tcPr>
            <w:tcW w:w="825" w:type="dxa"/>
            <w:vMerge w:val="restart"/>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Ansi="宋体"/>
                <w:kern w:val="0"/>
                <w:sz w:val="20"/>
                <w:szCs w:val="20"/>
              </w:rPr>
              <w:t>自然人</w:t>
            </w:r>
          </w:p>
        </w:tc>
        <w:tc>
          <w:tcPr>
            <w:tcW w:w="4065"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Ansi="宋体"/>
                <w:kern w:val="0"/>
                <w:sz w:val="20"/>
                <w:szCs w:val="20"/>
              </w:rPr>
              <w:t>法人或其他组织</w:t>
            </w:r>
          </w:p>
        </w:tc>
        <w:tc>
          <w:tcPr>
            <w:tcW w:w="702"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Ansi="宋体"/>
                <w:kern w:val="0"/>
                <w:sz w:val="20"/>
                <w:szCs w:val="20"/>
              </w:rPr>
              <w:t>总计</w:t>
            </w:r>
          </w:p>
        </w:tc>
      </w:tr>
      <w:tr>
        <w:tblPrEx>
          <w:tblCellMar>
            <w:top w:w="0" w:type="dxa"/>
            <w:left w:w="0" w:type="dxa"/>
            <w:bottom w:w="0" w:type="dxa"/>
            <w:right w:w="0" w:type="dxa"/>
          </w:tblCellMar>
        </w:tblPrEx>
        <w:trPr>
          <w:jc w:val="center"/>
        </w:trPr>
        <w:tc>
          <w:tcPr>
            <w:tcW w:w="3479" w:type="dxa"/>
            <w:gridSpan w:val="3"/>
            <w:vMerge w:val="continue"/>
            <w:tcBorders>
              <w:top w:val="single" w:color="auto" w:sz="8" w:space="0"/>
              <w:left w:val="single" w:color="auto" w:sz="8" w:space="0"/>
              <w:bottom w:val="single" w:color="auto" w:sz="8" w:space="0"/>
              <w:right w:val="single" w:color="auto" w:sz="8" w:space="0"/>
            </w:tcBorders>
            <w:vAlign w:val="center"/>
          </w:tcPr>
          <w:p>
            <w:pPr>
              <w:widowControl/>
              <w:jc w:val="left"/>
              <w:rPr>
                <w:kern w:val="0"/>
                <w:sz w:val="24"/>
              </w:rPr>
            </w:pPr>
          </w:p>
        </w:tc>
        <w:tc>
          <w:tcPr>
            <w:tcW w:w="825" w:type="dxa"/>
            <w:vMerge w:val="continue"/>
            <w:tcBorders>
              <w:top w:val="nil"/>
              <w:left w:val="nil"/>
              <w:bottom w:val="single" w:color="auto" w:sz="8" w:space="0"/>
              <w:right w:val="single" w:color="auto" w:sz="8" w:space="0"/>
            </w:tcBorders>
            <w:vAlign w:val="center"/>
          </w:tcPr>
          <w:p>
            <w:pPr>
              <w:widowControl/>
              <w:jc w:val="left"/>
              <w:rPr>
                <w:kern w:val="0"/>
                <w:sz w:val="24"/>
              </w:rPr>
            </w:pP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Ansi="宋体"/>
                <w:kern w:val="0"/>
                <w:sz w:val="20"/>
                <w:szCs w:val="20"/>
              </w:rPr>
              <w:t>商业企业</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Ansi="宋体"/>
                <w:kern w:val="0"/>
                <w:sz w:val="20"/>
                <w:szCs w:val="20"/>
              </w:rPr>
              <w:t>科研机构</w:t>
            </w:r>
          </w:p>
        </w:tc>
        <w:tc>
          <w:tcPr>
            <w:tcW w:w="82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Ansi="宋体"/>
                <w:kern w:val="0"/>
                <w:sz w:val="20"/>
                <w:szCs w:val="20"/>
              </w:rPr>
              <w:t>社会公益组织</w:t>
            </w:r>
          </w:p>
        </w:tc>
        <w:tc>
          <w:tcPr>
            <w:tcW w:w="90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Ansi="宋体"/>
                <w:kern w:val="0"/>
                <w:sz w:val="20"/>
                <w:szCs w:val="20"/>
              </w:rPr>
              <w:t>法律服务机构</w:t>
            </w:r>
          </w:p>
        </w:tc>
        <w:tc>
          <w:tcPr>
            <w:tcW w:w="80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Ansi="宋体"/>
                <w:kern w:val="0"/>
                <w:sz w:val="20"/>
                <w:szCs w:val="20"/>
              </w:rPr>
              <w:t>其他</w:t>
            </w:r>
          </w:p>
        </w:tc>
        <w:tc>
          <w:tcPr>
            <w:tcW w:w="702" w:type="dxa"/>
            <w:vMerge w:val="continue"/>
            <w:tcBorders>
              <w:top w:val="single" w:color="auto" w:sz="8" w:space="0"/>
              <w:left w:val="nil"/>
              <w:bottom w:val="single" w:color="auto" w:sz="8" w:space="0"/>
              <w:right w:val="single" w:color="auto" w:sz="8" w:space="0"/>
            </w:tcBorders>
            <w:vAlign w:val="center"/>
          </w:tcPr>
          <w:p>
            <w:pPr>
              <w:widowControl/>
              <w:jc w:val="left"/>
              <w:rPr>
                <w:kern w:val="0"/>
                <w:sz w:val="24"/>
              </w:rPr>
            </w:pPr>
          </w:p>
        </w:tc>
      </w:tr>
      <w:tr>
        <w:tblPrEx>
          <w:tblCellMar>
            <w:top w:w="0" w:type="dxa"/>
            <w:left w:w="0" w:type="dxa"/>
            <w:bottom w:w="0" w:type="dxa"/>
            <w:right w:w="0" w:type="dxa"/>
          </w:tblCellMar>
        </w:tblPrEx>
        <w:trPr>
          <w:jc w:val="center"/>
        </w:trPr>
        <w:tc>
          <w:tcPr>
            <w:tcW w:w="3479" w:type="dxa"/>
            <w:gridSpan w:val="3"/>
            <w:tcBorders>
              <w:top w:val="nil"/>
              <w:left w:val="single" w:color="auto" w:sz="8" w:space="0"/>
              <w:bottom w:val="single" w:color="auto" w:sz="8" w:space="0"/>
              <w:right w:val="single" w:color="auto" w:sz="8" w:space="0"/>
            </w:tcBorders>
            <w:vAlign w:val="center"/>
          </w:tcPr>
          <w:p>
            <w:pPr>
              <w:widowControl/>
              <w:jc w:val="left"/>
              <w:rPr>
                <w:kern w:val="0"/>
                <w:sz w:val="24"/>
              </w:rPr>
            </w:pPr>
            <w:r>
              <w:rPr>
                <w:rFonts w:hAnsi="宋体"/>
                <w:kern w:val="0"/>
                <w:sz w:val="20"/>
                <w:szCs w:val="20"/>
              </w:rPr>
              <w:t>一、本年新收政府信息公开申请数量</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0"/>
                <w:szCs w:val="20"/>
                <w:lang w:val="en-US" w:eastAsia="zh-CN"/>
              </w:rPr>
            </w:pPr>
            <w:r>
              <w:rPr>
                <w:rFonts w:hint="eastAsia"/>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0"/>
                <w:szCs w:val="20"/>
                <w:lang w:val="en-US" w:eastAsia="zh-CN"/>
              </w:rPr>
            </w:pPr>
            <w:r>
              <w:rPr>
                <w:rFonts w:hint="eastAsia"/>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0"/>
                <w:szCs w:val="20"/>
                <w:lang w:val="en-US" w:eastAsia="zh-CN"/>
              </w:rPr>
            </w:pPr>
            <w:r>
              <w:rPr>
                <w:rFonts w:hint="eastAsia"/>
                <w:kern w:val="0"/>
                <w:sz w:val="20"/>
                <w:szCs w:val="20"/>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0"/>
                <w:szCs w:val="20"/>
                <w:lang w:val="en-US" w:eastAsia="zh-CN"/>
              </w:rPr>
            </w:pPr>
            <w:r>
              <w:rPr>
                <w:rFonts w:hint="eastAsia"/>
                <w:kern w:val="0"/>
                <w:sz w:val="20"/>
                <w:szCs w:val="20"/>
                <w:lang w:val="en-US" w:eastAsia="zh-CN"/>
              </w:rPr>
              <w:t>0</w:t>
            </w:r>
          </w:p>
        </w:tc>
        <w:tc>
          <w:tcPr>
            <w:tcW w:w="90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0"/>
                <w:szCs w:val="20"/>
                <w:lang w:val="en-US" w:eastAsia="zh-CN"/>
              </w:rPr>
            </w:pPr>
            <w:r>
              <w:rPr>
                <w:rFonts w:hint="eastAsia"/>
                <w:kern w:val="0"/>
                <w:sz w:val="20"/>
                <w:szCs w:val="20"/>
                <w:lang w:val="en-US" w:eastAsia="zh-CN"/>
              </w:rPr>
              <w:t>0</w:t>
            </w:r>
          </w:p>
        </w:tc>
        <w:tc>
          <w:tcPr>
            <w:tcW w:w="8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0"/>
                <w:szCs w:val="20"/>
                <w:lang w:val="en-US" w:eastAsia="zh-CN"/>
              </w:rPr>
            </w:pPr>
            <w:r>
              <w:rPr>
                <w:rFonts w:hint="eastAsia"/>
                <w:kern w:val="0"/>
                <w:sz w:val="20"/>
                <w:szCs w:val="20"/>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0"/>
                <w:szCs w:val="20"/>
                <w:lang w:val="en-US" w:eastAsia="zh-CN"/>
              </w:rPr>
            </w:pPr>
            <w:r>
              <w:rPr>
                <w:rFonts w:hint="eastAsia"/>
                <w:kern w:val="0"/>
                <w:sz w:val="20"/>
                <w:szCs w:val="20"/>
                <w:lang w:val="en-US" w:eastAsia="zh-CN"/>
              </w:rPr>
              <w:t>0</w:t>
            </w:r>
          </w:p>
        </w:tc>
      </w:tr>
      <w:tr>
        <w:tblPrEx>
          <w:tblCellMar>
            <w:top w:w="0" w:type="dxa"/>
            <w:left w:w="0" w:type="dxa"/>
            <w:bottom w:w="0" w:type="dxa"/>
            <w:right w:w="0" w:type="dxa"/>
          </w:tblCellMar>
        </w:tblPrEx>
        <w:trPr>
          <w:jc w:val="center"/>
        </w:trPr>
        <w:tc>
          <w:tcPr>
            <w:tcW w:w="3479" w:type="dxa"/>
            <w:gridSpan w:val="3"/>
            <w:tcBorders>
              <w:top w:val="nil"/>
              <w:left w:val="single" w:color="auto" w:sz="8" w:space="0"/>
              <w:bottom w:val="single" w:color="auto" w:sz="8" w:space="0"/>
              <w:right w:val="single" w:color="auto" w:sz="8" w:space="0"/>
            </w:tcBorders>
            <w:vAlign w:val="center"/>
          </w:tcPr>
          <w:p>
            <w:pPr>
              <w:widowControl/>
              <w:jc w:val="left"/>
              <w:rPr>
                <w:kern w:val="0"/>
                <w:sz w:val="24"/>
              </w:rPr>
            </w:pPr>
            <w:r>
              <w:rPr>
                <w:rFonts w:hAnsi="宋体"/>
                <w:kern w:val="0"/>
                <w:sz w:val="20"/>
                <w:szCs w:val="20"/>
              </w:rPr>
              <w:t>二、上年结转政府信息公开申请数量</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90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8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r>
      <w:tr>
        <w:tblPrEx>
          <w:tblCellMar>
            <w:top w:w="0" w:type="dxa"/>
            <w:left w:w="0" w:type="dxa"/>
            <w:bottom w:w="0" w:type="dxa"/>
            <w:right w:w="0" w:type="dxa"/>
          </w:tblCellMar>
        </w:tblPrEx>
        <w:trPr>
          <w:jc w:val="center"/>
        </w:trPr>
        <w:tc>
          <w:tcPr>
            <w:tcW w:w="494" w:type="dxa"/>
            <w:vMerge w:val="restart"/>
            <w:tcBorders>
              <w:top w:val="nil"/>
              <w:left w:val="single" w:color="auto" w:sz="8" w:space="0"/>
              <w:bottom w:val="single" w:color="auto" w:sz="8" w:space="0"/>
              <w:right w:val="single" w:color="auto" w:sz="8" w:space="0"/>
            </w:tcBorders>
            <w:vAlign w:val="center"/>
          </w:tcPr>
          <w:p>
            <w:pPr>
              <w:widowControl/>
              <w:jc w:val="center"/>
              <w:rPr>
                <w:kern w:val="0"/>
                <w:sz w:val="24"/>
              </w:rPr>
            </w:pPr>
            <w:r>
              <w:rPr>
                <w:rFonts w:hAnsi="宋体"/>
                <w:kern w:val="0"/>
                <w:sz w:val="20"/>
                <w:szCs w:val="20"/>
              </w:rPr>
              <w:t>三、本年度办理结果</w:t>
            </w:r>
          </w:p>
        </w:tc>
        <w:tc>
          <w:tcPr>
            <w:tcW w:w="2985" w:type="dxa"/>
            <w:gridSpan w:val="2"/>
            <w:tcBorders>
              <w:top w:val="nil"/>
              <w:left w:val="nil"/>
              <w:bottom w:val="single" w:color="auto" w:sz="8" w:space="0"/>
              <w:right w:val="single" w:color="auto" w:sz="8" w:space="0"/>
            </w:tcBorders>
            <w:vAlign w:val="center"/>
          </w:tcPr>
          <w:p>
            <w:pPr>
              <w:widowControl/>
              <w:jc w:val="left"/>
              <w:rPr>
                <w:kern w:val="0"/>
                <w:sz w:val="24"/>
              </w:rPr>
            </w:pPr>
            <w:r>
              <w:rPr>
                <w:rFonts w:hAnsi="楷体" w:eastAsia="楷体"/>
                <w:kern w:val="0"/>
                <w:sz w:val="20"/>
                <w:szCs w:val="20"/>
              </w:rPr>
              <w:t>（一）予以公开</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90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8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70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r>
      <w:tr>
        <w:tblPrEx>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kern w:val="0"/>
                <w:sz w:val="24"/>
              </w:rPr>
            </w:pPr>
          </w:p>
        </w:tc>
        <w:tc>
          <w:tcPr>
            <w:tcW w:w="2985" w:type="dxa"/>
            <w:gridSpan w:val="2"/>
            <w:tcBorders>
              <w:top w:val="nil"/>
              <w:left w:val="nil"/>
              <w:bottom w:val="single" w:color="auto" w:sz="8" w:space="0"/>
              <w:right w:val="single" w:color="auto" w:sz="8" w:space="0"/>
            </w:tcBorders>
            <w:vAlign w:val="center"/>
          </w:tcPr>
          <w:p>
            <w:pPr>
              <w:widowControl/>
              <w:jc w:val="left"/>
              <w:rPr>
                <w:kern w:val="0"/>
                <w:sz w:val="24"/>
              </w:rPr>
            </w:pPr>
            <w:r>
              <w:rPr>
                <w:rFonts w:hAnsi="楷体" w:eastAsia="楷体"/>
                <w:kern w:val="0"/>
                <w:sz w:val="20"/>
                <w:szCs w:val="20"/>
              </w:rPr>
              <w:t>（二）部分公开（区分处理的，只计这一情形，不计其他情形）</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0"/>
                <w:szCs w:val="20"/>
              </w:rPr>
            </w:pPr>
            <w:r>
              <w:rPr>
                <w:rFonts w:hint="eastAsia"/>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90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8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r>
      <w:tr>
        <w:tblPrEx>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kern w:val="0"/>
                <w:sz w:val="24"/>
              </w:rPr>
            </w:pPr>
          </w:p>
        </w:tc>
        <w:tc>
          <w:tcPr>
            <w:tcW w:w="708"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kern w:val="0"/>
                <w:sz w:val="24"/>
              </w:rPr>
            </w:pPr>
            <w:r>
              <w:rPr>
                <w:rFonts w:hAnsi="楷体" w:eastAsia="楷体"/>
                <w:kern w:val="0"/>
                <w:sz w:val="20"/>
                <w:szCs w:val="20"/>
              </w:rPr>
              <w:t>（三）不予公开</w:t>
            </w:r>
          </w:p>
        </w:tc>
        <w:tc>
          <w:tcPr>
            <w:tcW w:w="227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kern w:val="0"/>
                <w:sz w:val="24"/>
              </w:rPr>
            </w:pPr>
            <w:r>
              <w:rPr>
                <w:rFonts w:eastAsia="楷体"/>
                <w:kern w:val="0"/>
                <w:sz w:val="20"/>
                <w:szCs w:val="20"/>
              </w:rPr>
              <w:t>1.</w:t>
            </w:r>
            <w:r>
              <w:rPr>
                <w:rFonts w:hAnsi="楷体" w:eastAsia="楷体"/>
                <w:kern w:val="0"/>
                <w:sz w:val="20"/>
                <w:szCs w:val="20"/>
              </w:rPr>
              <w:t>属于国家秘密</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0"/>
                <w:szCs w:val="20"/>
              </w:rPr>
            </w:pPr>
            <w:r>
              <w:rPr>
                <w:rFonts w:hint="eastAsia"/>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90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8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70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r>
      <w:tr>
        <w:tblPrEx>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kern w:val="0"/>
                <w:sz w:val="24"/>
              </w:rPr>
            </w:pPr>
          </w:p>
        </w:tc>
        <w:tc>
          <w:tcPr>
            <w:tcW w:w="708" w:type="dxa"/>
            <w:vMerge w:val="continue"/>
            <w:tcBorders>
              <w:top w:val="nil"/>
              <w:left w:val="nil"/>
              <w:bottom w:val="single" w:color="auto" w:sz="8" w:space="0"/>
              <w:right w:val="single" w:color="auto" w:sz="8" w:space="0"/>
            </w:tcBorders>
            <w:vAlign w:val="center"/>
          </w:tcPr>
          <w:p>
            <w:pPr>
              <w:widowControl/>
              <w:jc w:val="left"/>
              <w:rPr>
                <w:kern w:val="0"/>
                <w:sz w:val="24"/>
              </w:rPr>
            </w:pPr>
          </w:p>
        </w:tc>
        <w:tc>
          <w:tcPr>
            <w:tcW w:w="227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kern w:val="0"/>
                <w:sz w:val="24"/>
              </w:rPr>
            </w:pPr>
            <w:r>
              <w:rPr>
                <w:rFonts w:eastAsia="楷体"/>
                <w:kern w:val="0"/>
                <w:sz w:val="20"/>
                <w:szCs w:val="20"/>
              </w:rPr>
              <w:t>2.</w:t>
            </w:r>
            <w:r>
              <w:rPr>
                <w:rFonts w:hAnsi="楷体" w:eastAsia="楷体"/>
                <w:kern w:val="0"/>
                <w:sz w:val="20"/>
                <w:szCs w:val="20"/>
              </w:rPr>
              <w:t>其他法律行政法规禁止公开</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0"/>
                <w:szCs w:val="20"/>
              </w:rPr>
            </w:pPr>
            <w:r>
              <w:rPr>
                <w:rFonts w:hint="eastAsia"/>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90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8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r>
      <w:tr>
        <w:tblPrEx>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kern w:val="0"/>
                <w:sz w:val="24"/>
              </w:rPr>
            </w:pPr>
          </w:p>
        </w:tc>
        <w:tc>
          <w:tcPr>
            <w:tcW w:w="708" w:type="dxa"/>
            <w:vMerge w:val="continue"/>
            <w:tcBorders>
              <w:top w:val="nil"/>
              <w:left w:val="nil"/>
              <w:bottom w:val="single" w:color="auto" w:sz="8" w:space="0"/>
              <w:right w:val="single" w:color="auto" w:sz="8" w:space="0"/>
            </w:tcBorders>
            <w:vAlign w:val="center"/>
          </w:tcPr>
          <w:p>
            <w:pPr>
              <w:widowControl/>
              <w:jc w:val="left"/>
              <w:rPr>
                <w:kern w:val="0"/>
                <w:sz w:val="24"/>
              </w:rPr>
            </w:pPr>
          </w:p>
        </w:tc>
        <w:tc>
          <w:tcPr>
            <w:tcW w:w="227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kern w:val="0"/>
                <w:sz w:val="24"/>
              </w:rPr>
            </w:pPr>
            <w:r>
              <w:rPr>
                <w:rFonts w:eastAsia="楷体"/>
                <w:kern w:val="0"/>
                <w:sz w:val="20"/>
                <w:szCs w:val="20"/>
              </w:rPr>
              <w:t>3.</w:t>
            </w:r>
            <w:r>
              <w:rPr>
                <w:rFonts w:hAnsi="楷体" w:eastAsia="楷体"/>
                <w:kern w:val="0"/>
                <w:sz w:val="20"/>
                <w:szCs w:val="20"/>
              </w:rPr>
              <w:t>危及</w:t>
            </w:r>
            <w:r>
              <w:rPr>
                <w:rFonts w:eastAsia="楷体"/>
                <w:kern w:val="0"/>
                <w:sz w:val="20"/>
                <w:szCs w:val="20"/>
              </w:rPr>
              <w:t>“</w:t>
            </w:r>
            <w:r>
              <w:rPr>
                <w:rFonts w:hAnsi="楷体" w:eastAsia="楷体"/>
                <w:kern w:val="0"/>
                <w:sz w:val="20"/>
                <w:szCs w:val="20"/>
              </w:rPr>
              <w:t>三安全一稳定</w:t>
            </w:r>
            <w:r>
              <w:rPr>
                <w:rFonts w:eastAsia="楷体"/>
                <w:kern w:val="0"/>
                <w:sz w:val="20"/>
                <w:szCs w:val="20"/>
              </w:rPr>
              <w:t>”</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0"/>
                <w:szCs w:val="20"/>
              </w:rPr>
            </w:pPr>
            <w:r>
              <w:rPr>
                <w:rFonts w:hint="eastAsia"/>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90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8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r>
      <w:tr>
        <w:tblPrEx>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kern w:val="0"/>
                <w:sz w:val="24"/>
              </w:rPr>
            </w:pPr>
          </w:p>
        </w:tc>
        <w:tc>
          <w:tcPr>
            <w:tcW w:w="708" w:type="dxa"/>
            <w:vMerge w:val="continue"/>
            <w:tcBorders>
              <w:top w:val="nil"/>
              <w:left w:val="nil"/>
              <w:bottom w:val="single" w:color="auto" w:sz="8" w:space="0"/>
              <w:right w:val="single" w:color="auto" w:sz="8" w:space="0"/>
            </w:tcBorders>
            <w:vAlign w:val="center"/>
          </w:tcPr>
          <w:p>
            <w:pPr>
              <w:widowControl/>
              <w:jc w:val="left"/>
              <w:rPr>
                <w:kern w:val="0"/>
                <w:sz w:val="24"/>
              </w:rPr>
            </w:pPr>
          </w:p>
        </w:tc>
        <w:tc>
          <w:tcPr>
            <w:tcW w:w="227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kern w:val="0"/>
                <w:sz w:val="24"/>
              </w:rPr>
            </w:pPr>
            <w:r>
              <w:rPr>
                <w:rFonts w:eastAsia="楷体"/>
                <w:kern w:val="0"/>
                <w:sz w:val="20"/>
                <w:szCs w:val="20"/>
              </w:rPr>
              <w:t>4.</w:t>
            </w:r>
            <w:r>
              <w:rPr>
                <w:rFonts w:hAnsi="楷体" w:eastAsia="楷体"/>
                <w:kern w:val="0"/>
                <w:sz w:val="20"/>
                <w:szCs w:val="20"/>
              </w:rPr>
              <w:t>保护第三方合法权益</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0"/>
                <w:szCs w:val="20"/>
              </w:rPr>
            </w:pPr>
            <w:r>
              <w:rPr>
                <w:rFonts w:hint="eastAsia"/>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90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8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r>
      <w:tr>
        <w:tblPrEx>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kern w:val="0"/>
                <w:sz w:val="24"/>
              </w:rPr>
            </w:pPr>
          </w:p>
        </w:tc>
        <w:tc>
          <w:tcPr>
            <w:tcW w:w="708" w:type="dxa"/>
            <w:vMerge w:val="continue"/>
            <w:tcBorders>
              <w:top w:val="nil"/>
              <w:left w:val="nil"/>
              <w:bottom w:val="single" w:color="auto" w:sz="8" w:space="0"/>
              <w:right w:val="single" w:color="auto" w:sz="8" w:space="0"/>
            </w:tcBorders>
            <w:vAlign w:val="center"/>
          </w:tcPr>
          <w:p>
            <w:pPr>
              <w:widowControl/>
              <w:jc w:val="left"/>
              <w:rPr>
                <w:kern w:val="0"/>
                <w:sz w:val="24"/>
              </w:rPr>
            </w:pPr>
          </w:p>
        </w:tc>
        <w:tc>
          <w:tcPr>
            <w:tcW w:w="227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kern w:val="0"/>
                <w:sz w:val="24"/>
              </w:rPr>
            </w:pPr>
            <w:r>
              <w:rPr>
                <w:rFonts w:eastAsia="楷体"/>
                <w:kern w:val="0"/>
                <w:sz w:val="20"/>
                <w:szCs w:val="20"/>
              </w:rPr>
              <w:t>5.</w:t>
            </w:r>
            <w:r>
              <w:rPr>
                <w:rFonts w:hAnsi="楷体" w:eastAsia="楷体"/>
                <w:kern w:val="0"/>
                <w:sz w:val="20"/>
                <w:szCs w:val="20"/>
              </w:rPr>
              <w:t>属于三类内部事务信息</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0"/>
                <w:szCs w:val="20"/>
              </w:rPr>
            </w:pPr>
            <w:r>
              <w:rPr>
                <w:rFonts w:hint="eastAsia"/>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90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8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r>
      <w:tr>
        <w:tblPrEx>
          <w:tblCellMar>
            <w:top w:w="0" w:type="dxa"/>
            <w:left w:w="0" w:type="dxa"/>
            <w:bottom w:w="0" w:type="dxa"/>
            <w:right w:w="0" w:type="dxa"/>
          </w:tblCellMar>
        </w:tblPrEx>
        <w:trPr>
          <w:trHeight w:val="519" w:hRule="atLeast"/>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kern w:val="0"/>
                <w:sz w:val="24"/>
              </w:rPr>
            </w:pPr>
          </w:p>
        </w:tc>
        <w:tc>
          <w:tcPr>
            <w:tcW w:w="708" w:type="dxa"/>
            <w:vMerge w:val="continue"/>
            <w:tcBorders>
              <w:top w:val="nil"/>
              <w:left w:val="nil"/>
              <w:bottom w:val="single" w:color="auto" w:sz="8" w:space="0"/>
              <w:right w:val="single" w:color="auto" w:sz="8" w:space="0"/>
            </w:tcBorders>
            <w:vAlign w:val="center"/>
          </w:tcPr>
          <w:p>
            <w:pPr>
              <w:widowControl/>
              <w:jc w:val="left"/>
              <w:rPr>
                <w:kern w:val="0"/>
                <w:sz w:val="24"/>
              </w:rPr>
            </w:pPr>
          </w:p>
        </w:tc>
        <w:tc>
          <w:tcPr>
            <w:tcW w:w="227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kern w:val="0"/>
                <w:sz w:val="24"/>
              </w:rPr>
            </w:pPr>
            <w:r>
              <w:rPr>
                <w:rFonts w:eastAsia="楷体"/>
                <w:kern w:val="0"/>
                <w:sz w:val="20"/>
                <w:szCs w:val="20"/>
              </w:rPr>
              <w:t>6.</w:t>
            </w:r>
            <w:r>
              <w:rPr>
                <w:rFonts w:hAnsi="楷体" w:eastAsia="楷体"/>
                <w:kern w:val="0"/>
                <w:sz w:val="20"/>
                <w:szCs w:val="20"/>
              </w:rPr>
              <w:t>属于四类过程性信息</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90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8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r>
      <w:tr>
        <w:tblPrEx>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kern w:val="0"/>
                <w:sz w:val="24"/>
              </w:rPr>
            </w:pPr>
          </w:p>
        </w:tc>
        <w:tc>
          <w:tcPr>
            <w:tcW w:w="708" w:type="dxa"/>
            <w:vMerge w:val="continue"/>
            <w:tcBorders>
              <w:top w:val="nil"/>
              <w:left w:val="nil"/>
              <w:bottom w:val="single" w:color="auto" w:sz="8" w:space="0"/>
              <w:right w:val="single" w:color="auto" w:sz="8" w:space="0"/>
            </w:tcBorders>
            <w:vAlign w:val="center"/>
          </w:tcPr>
          <w:p>
            <w:pPr>
              <w:widowControl/>
              <w:jc w:val="left"/>
              <w:rPr>
                <w:kern w:val="0"/>
                <w:sz w:val="24"/>
              </w:rPr>
            </w:pPr>
          </w:p>
        </w:tc>
        <w:tc>
          <w:tcPr>
            <w:tcW w:w="227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kern w:val="0"/>
                <w:sz w:val="24"/>
              </w:rPr>
            </w:pPr>
            <w:r>
              <w:rPr>
                <w:rFonts w:eastAsia="楷体"/>
                <w:kern w:val="0"/>
                <w:sz w:val="20"/>
                <w:szCs w:val="20"/>
              </w:rPr>
              <w:t>7.</w:t>
            </w:r>
            <w:r>
              <w:rPr>
                <w:rFonts w:hAnsi="楷体" w:eastAsia="楷体"/>
                <w:kern w:val="0"/>
                <w:sz w:val="20"/>
                <w:szCs w:val="20"/>
              </w:rPr>
              <w:t>属于行政执法案卷</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90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8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r>
      <w:tr>
        <w:tblPrEx>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kern w:val="0"/>
                <w:sz w:val="24"/>
              </w:rPr>
            </w:pPr>
          </w:p>
        </w:tc>
        <w:tc>
          <w:tcPr>
            <w:tcW w:w="708" w:type="dxa"/>
            <w:vMerge w:val="continue"/>
            <w:tcBorders>
              <w:top w:val="nil"/>
              <w:left w:val="nil"/>
              <w:bottom w:val="single" w:color="auto" w:sz="8" w:space="0"/>
              <w:right w:val="single" w:color="auto" w:sz="8" w:space="0"/>
            </w:tcBorders>
            <w:vAlign w:val="center"/>
          </w:tcPr>
          <w:p>
            <w:pPr>
              <w:widowControl/>
              <w:jc w:val="left"/>
              <w:rPr>
                <w:kern w:val="0"/>
                <w:sz w:val="24"/>
              </w:rPr>
            </w:pPr>
          </w:p>
        </w:tc>
        <w:tc>
          <w:tcPr>
            <w:tcW w:w="227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kern w:val="0"/>
                <w:sz w:val="24"/>
              </w:rPr>
            </w:pPr>
            <w:r>
              <w:rPr>
                <w:rFonts w:eastAsia="楷体"/>
                <w:kern w:val="0"/>
                <w:sz w:val="20"/>
                <w:szCs w:val="20"/>
              </w:rPr>
              <w:t>8.</w:t>
            </w:r>
            <w:r>
              <w:rPr>
                <w:rFonts w:hAnsi="楷体" w:eastAsia="楷体"/>
                <w:kern w:val="0"/>
                <w:sz w:val="20"/>
                <w:szCs w:val="20"/>
              </w:rPr>
              <w:t>属于行政查询事项</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90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8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r>
      <w:tr>
        <w:tblPrEx>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kern w:val="0"/>
                <w:sz w:val="24"/>
              </w:rPr>
            </w:pPr>
          </w:p>
        </w:tc>
        <w:tc>
          <w:tcPr>
            <w:tcW w:w="708"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kern w:val="0"/>
                <w:sz w:val="24"/>
              </w:rPr>
            </w:pPr>
            <w:r>
              <w:rPr>
                <w:rFonts w:hAnsi="楷体" w:eastAsia="楷体"/>
                <w:kern w:val="0"/>
                <w:sz w:val="20"/>
                <w:szCs w:val="20"/>
              </w:rPr>
              <w:t>（四）无法提供</w:t>
            </w:r>
          </w:p>
        </w:tc>
        <w:tc>
          <w:tcPr>
            <w:tcW w:w="227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kern w:val="0"/>
                <w:sz w:val="24"/>
              </w:rPr>
            </w:pPr>
            <w:r>
              <w:rPr>
                <w:rFonts w:eastAsia="楷体"/>
                <w:kern w:val="0"/>
                <w:sz w:val="20"/>
                <w:szCs w:val="20"/>
              </w:rPr>
              <w:t>1.</w:t>
            </w:r>
            <w:r>
              <w:rPr>
                <w:rFonts w:hAnsi="楷体" w:eastAsia="楷体"/>
                <w:kern w:val="0"/>
                <w:sz w:val="20"/>
                <w:szCs w:val="20"/>
              </w:rPr>
              <w:t>本机关不掌握相关政府信息</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90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8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r>
      <w:tr>
        <w:tblPrEx>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kern w:val="0"/>
                <w:sz w:val="24"/>
              </w:rPr>
            </w:pPr>
          </w:p>
        </w:tc>
        <w:tc>
          <w:tcPr>
            <w:tcW w:w="708" w:type="dxa"/>
            <w:vMerge w:val="continue"/>
            <w:tcBorders>
              <w:top w:val="nil"/>
              <w:left w:val="nil"/>
              <w:bottom w:val="single" w:color="auto" w:sz="8" w:space="0"/>
              <w:right w:val="single" w:color="auto" w:sz="8" w:space="0"/>
            </w:tcBorders>
            <w:vAlign w:val="center"/>
          </w:tcPr>
          <w:p>
            <w:pPr>
              <w:widowControl/>
              <w:jc w:val="left"/>
              <w:rPr>
                <w:kern w:val="0"/>
                <w:sz w:val="24"/>
              </w:rPr>
            </w:pPr>
          </w:p>
        </w:tc>
        <w:tc>
          <w:tcPr>
            <w:tcW w:w="227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kern w:val="0"/>
                <w:sz w:val="24"/>
              </w:rPr>
            </w:pPr>
            <w:r>
              <w:rPr>
                <w:rFonts w:eastAsia="楷体"/>
                <w:kern w:val="0"/>
                <w:sz w:val="20"/>
                <w:szCs w:val="20"/>
              </w:rPr>
              <w:t>2.</w:t>
            </w:r>
            <w:r>
              <w:rPr>
                <w:rFonts w:hAnsi="楷体" w:eastAsia="楷体"/>
                <w:kern w:val="0"/>
                <w:sz w:val="20"/>
                <w:szCs w:val="20"/>
              </w:rPr>
              <w:t>没有现成信息需要另行制作</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90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8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r>
      <w:tr>
        <w:tblPrEx>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kern w:val="0"/>
                <w:sz w:val="24"/>
              </w:rPr>
            </w:pPr>
          </w:p>
        </w:tc>
        <w:tc>
          <w:tcPr>
            <w:tcW w:w="708" w:type="dxa"/>
            <w:vMerge w:val="continue"/>
            <w:tcBorders>
              <w:top w:val="nil"/>
              <w:left w:val="nil"/>
              <w:bottom w:val="single" w:color="auto" w:sz="8" w:space="0"/>
              <w:right w:val="single" w:color="auto" w:sz="8" w:space="0"/>
            </w:tcBorders>
            <w:vAlign w:val="center"/>
          </w:tcPr>
          <w:p>
            <w:pPr>
              <w:widowControl/>
              <w:jc w:val="left"/>
              <w:rPr>
                <w:kern w:val="0"/>
                <w:sz w:val="24"/>
              </w:rPr>
            </w:pPr>
          </w:p>
        </w:tc>
        <w:tc>
          <w:tcPr>
            <w:tcW w:w="227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kern w:val="0"/>
                <w:sz w:val="24"/>
              </w:rPr>
            </w:pPr>
            <w:r>
              <w:rPr>
                <w:rFonts w:eastAsia="楷体"/>
                <w:kern w:val="0"/>
                <w:sz w:val="20"/>
                <w:szCs w:val="20"/>
              </w:rPr>
              <w:t>3.</w:t>
            </w:r>
            <w:r>
              <w:rPr>
                <w:rFonts w:hAnsi="楷体" w:eastAsia="楷体"/>
                <w:kern w:val="0"/>
                <w:sz w:val="20"/>
                <w:szCs w:val="20"/>
              </w:rPr>
              <w:t>补正后申请内容仍不明确</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90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8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r>
      <w:tr>
        <w:tblPrEx>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kern w:val="0"/>
                <w:sz w:val="24"/>
              </w:rPr>
            </w:pPr>
          </w:p>
        </w:tc>
        <w:tc>
          <w:tcPr>
            <w:tcW w:w="708"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kern w:val="0"/>
                <w:sz w:val="24"/>
              </w:rPr>
            </w:pPr>
            <w:r>
              <w:rPr>
                <w:rFonts w:hAnsi="楷体" w:eastAsia="楷体"/>
                <w:kern w:val="0"/>
                <w:sz w:val="20"/>
                <w:szCs w:val="20"/>
              </w:rPr>
              <w:t>（五）不予处理</w:t>
            </w:r>
          </w:p>
        </w:tc>
        <w:tc>
          <w:tcPr>
            <w:tcW w:w="227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kern w:val="0"/>
                <w:sz w:val="24"/>
              </w:rPr>
            </w:pPr>
            <w:r>
              <w:rPr>
                <w:rFonts w:eastAsia="楷体"/>
                <w:kern w:val="0"/>
                <w:sz w:val="20"/>
                <w:szCs w:val="20"/>
              </w:rPr>
              <w:t>1.</w:t>
            </w:r>
            <w:r>
              <w:rPr>
                <w:rFonts w:hAnsi="楷体" w:eastAsia="楷体"/>
                <w:kern w:val="0"/>
                <w:sz w:val="20"/>
                <w:szCs w:val="20"/>
              </w:rPr>
              <w:t>信访举报投诉类申请</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90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8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r>
      <w:tr>
        <w:tblPrEx>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kern w:val="0"/>
                <w:sz w:val="24"/>
              </w:rPr>
            </w:pPr>
          </w:p>
        </w:tc>
        <w:tc>
          <w:tcPr>
            <w:tcW w:w="708" w:type="dxa"/>
            <w:vMerge w:val="continue"/>
            <w:tcBorders>
              <w:top w:val="nil"/>
              <w:left w:val="nil"/>
              <w:bottom w:val="single" w:color="auto" w:sz="8" w:space="0"/>
              <w:right w:val="single" w:color="auto" w:sz="8" w:space="0"/>
            </w:tcBorders>
            <w:vAlign w:val="center"/>
          </w:tcPr>
          <w:p>
            <w:pPr>
              <w:widowControl/>
              <w:jc w:val="left"/>
              <w:rPr>
                <w:kern w:val="0"/>
                <w:sz w:val="24"/>
              </w:rPr>
            </w:pPr>
          </w:p>
        </w:tc>
        <w:tc>
          <w:tcPr>
            <w:tcW w:w="227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kern w:val="0"/>
                <w:sz w:val="24"/>
              </w:rPr>
            </w:pPr>
            <w:r>
              <w:rPr>
                <w:rFonts w:eastAsia="楷体"/>
                <w:kern w:val="0"/>
                <w:sz w:val="20"/>
                <w:szCs w:val="20"/>
              </w:rPr>
              <w:t>2.</w:t>
            </w:r>
            <w:r>
              <w:rPr>
                <w:rFonts w:hAnsi="楷体" w:eastAsia="楷体"/>
                <w:kern w:val="0"/>
                <w:sz w:val="20"/>
                <w:szCs w:val="20"/>
              </w:rPr>
              <w:t>重复申请</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90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8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r>
      <w:tr>
        <w:tblPrEx>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kern w:val="0"/>
                <w:sz w:val="24"/>
              </w:rPr>
            </w:pPr>
          </w:p>
        </w:tc>
        <w:tc>
          <w:tcPr>
            <w:tcW w:w="708" w:type="dxa"/>
            <w:vMerge w:val="continue"/>
            <w:tcBorders>
              <w:top w:val="nil"/>
              <w:left w:val="nil"/>
              <w:bottom w:val="single" w:color="auto" w:sz="8" w:space="0"/>
              <w:right w:val="single" w:color="auto" w:sz="8" w:space="0"/>
            </w:tcBorders>
            <w:vAlign w:val="center"/>
          </w:tcPr>
          <w:p>
            <w:pPr>
              <w:widowControl/>
              <w:jc w:val="left"/>
              <w:rPr>
                <w:kern w:val="0"/>
                <w:sz w:val="24"/>
              </w:rPr>
            </w:pPr>
          </w:p>
        </w:tc>
        <w:tc>
          <w:tcPr>
            <w:tcW w:w="227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kern w:val="0"/>
                <w:sz w:val="24"/>
              </w:rPr>
            </w:pPr>
            <w:r>
              <w:rPr>
                <w:rFonts w:eastAsia="楷体"/>
                <w:kern w:val="0"/>
                <w:sz w:val="20"/>
                <w:szCs w:val="20"/>
              </w:rPr>
              <w:t>3.</w:t>
            </w:r>
            <w:r>
              <w:rPr>
                <w:rFonts w:hAnsi="楷体" w:eastAsia="楷体"/>
                <w:kern w:val="0"/>
                <w:sz w:val="20"/>
                <w:szCs w:val="20"/>
              </w:rPr>
              <w:t>要求提供公开出版物</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90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8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r>
      <w:tr>
        <w:tblPrEx>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kern w:val="0"/>
                <w:sz w:val="24"/>
              </w:rPr>
            </w:pPr>
          </w:p>
        </w:tc>
        <w:tc>
          <w:tcPr>
            <w:tcW w:w="708" w:type="dxa"/>
            <w:vMerge w:val="continue"/>
            <w:tcBorders>
              <w:top w:val="nil"/>
              <w:left w:val="nil"/>
              <w:bottom w:val="single" w:color="auto" w:sz="8" w:space="0"/>
              <w:right w:val="single" w:color="auto" w:sz="8" w:space="0"/>
            </w:tcBorders>
            <w:vAlign w:val="center"/>
          </w:tcPr>
          <w:p>
            <w:pPr>
              <w:widowControl/>
              <w:jc w:val="left"/>
              <w:rPr>
                <w:kern w:val="0"/>
                <w:sz w:val="24"/>
              </w:rPr>
            </w:pPr>
          </w:p>
        </w:tc>
        <w:tc>
          <w:tcPr>
            <w:tcW w:w="227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kern w:val="0"/>
                <w:sz w:val="24"/>
              </w:rPr>
            </w:pPr>
            <w:r>
              <w:rPr>
                <w:rFonts w:eastAsia="楷体"/>
                <w:kern w:val="0"/>
                <w:sz w:val="20"/>
                <w:szCs w:val="20"/>
              </w:rPr>
              <w:t>4.</w:t>
            </w:r>
            <w:r>
              <w:rPr>
                <w:rFonts w:hAnsi="楷体" w:eastAsia="楷体"/>
                <w:kern w:val="0"/>
                <w:sz w:val="20"/>
                <w:szCs w:val="20"/>
              </w:rPr>
              <w:t>无正当理由大量反复申请</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90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8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r>
      <w:tr>
        <w:tblPrEx>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kern w:val="0"/>
                <w:sz w:val="24"/>
              </w:rPr>
            </w:pPr>
          </w:p>
        </w:tc>
        <w:tc>
          <w:tcPr>
            <w:tcW w:w="708" w:type="dxa"/>
            <w:vMerge w:val="continue"/>
            <w:tcBorders>
              <w:top w:val="nil"/>
              <w:left w:val="nil"/>
              <w:bottom w:val="single" w:color="auto" w:sz="8" w:space="0"/>
              <w:right w:val="single" w:color="auto" w:sz="8" w:space="0"/>
            </w:tcBorders>
            <w:vAlign w:val="center"/>
          </w:tcPr>
          <w:p>
            <w:pPr>
              <w:widowControl/>
              <w:jc w:val="left"/>
              <w:rPr>
                <w:kern w:val="0"/>
                <w:sz w:val="24"/>
              </w:rPr>
            </w:pPr>
          </w:p>
        </w:tc>
        <w:tc>
          <w:tcPr>
            <w:tcW w:w="227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kern w:val="0"/>
                <w:sz w:val="24"/>
              </w:rPr>
            </w:pPr>
            <w:r>
              <w:rPr>
                <w:rFonts w:eastAsia="楷体"/>
                <w:kern w:val="0"/>
                <w:sz w:val="20"/>
                <w:szCs w:val="20"/>
              </w:rPr>
              <w:t>5.</w:t>
            </w:r>
            <w:r>
              <w:rPr>
                <w:rFonts w:hAnsi="楷体" w:eastAsia="楷体"/>
                <w:kern w:val="0"/>
                <w:sz w:val="20"/>
                <w:szCs w:val="20"/>
              </w:rPr>
              <w:t>要求行政机关确认或重新出具已获取信息</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90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8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r>
      <w:tr>
        <w:tblPrEx>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kern w:val="0"/>
                <w:sz w:val="24"/>
              </w:rPr>
            </w:pPr>
          </w:p>
        </w:tc>
        <w:tc>
          <w:tcPr>
            <w:tcW w:w="708" w:type="dxa"/>
            <w:vMerge w:val="restart"/>
            <w:tcBorders>
              <w:top w:val="nil"/>
              <w:left w:val="nil"/>
              <w:right w:val="single" w:color="auto" w:sz="8" w:space="0"/>
            </w:tcBorders>
            <w:vAlign w:val="center"/>
          </w:tcPr>
          <w:p>
            <w:pPr>
              <w:widowControl/>
              <w:jc w:val="left"/>
              <w:rPr>
                <w:kern w:val="0"/>
                <w:sz w:val="24"/>
              </w:rPr>
            </w:pPr>
            <w:r>
              <w:rPr>
                <w:rFonts w:hAnsi="楷体" w:eastAsia="楷体"/>
                <w:kern w:val="0"/>
                <w:sz w:val="20"/>
                <w:szCs w:val="20"/>
              </w:rPr>
              <w:t>（六）其他处理</w:t>
            </w:r>
          </w:p>
        </w:tc>
        <w:tc>
          <w:tcPr>
            <w:tcW w:w="2277" w:type="dxa"/>
            <w:tcBorders>
              <w:top w:val="nil"/>
              <w:left w:val="nil"/>
              <w:bottom w:val="single" w:color="auto" w:sz="8" w:space="0"/>
              <w:right w:val="single" w:color="auto" w:sz="8" w:space="0"/>
            </w:tcBorders>
            <w:vAlign w:val="center"/>
          </w:tcPr>
          <w:p>
            <w:pPr>
              <w:widowControl/>
              <w:jc w:val="left"/>
              <w:rPr>
                <w:rFonts w:hAnsi="楷体" w:eastAsia="楷体"/>
                <w:kern w:val="0"/>
                <w:sz w:val="20"/>
                <w:szCs w:val="20"/>
              </w:rPr>
            </w:pPr>
            <w:r>
              <w:rPr>
                <w:rFonts w:hint="eastAsia" w:hAnsi="楷体" w:eastAsia="楷体"/>
                <w:kern w:val="0"/>
                <w:sz w:val="20"/>
                <w:szCs w:val="20"/>
              </w:rPr>
              <w:t>1.申请人无正当理由逾期不补正、行政机关不再处理其政府信息公开申请</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90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8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r>
      <w:tr>
        <w:tblPrEx>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kern w:val="0"/>
                <w:sz w:val="24"/>
              </w:rPr>
            </w:pPr>
          </w:p>
        </w:tc>
        <w:tc>
          <w:tcPr>
            <w:tcW w:w="708" w:type="dxa"/>
            <w:vMerge w:val="continue"/>
            <w:tcBorders>
              <w:left w:val="nil"/>
              <w:right w:val="single" w:color="auto" w:sz="8" w:space="0"/>
            </w:tcBorders>
            <w:vAlign w:val="center"/>
          </w:tcPr>
          <w:p>
            <w:pPr>
              <w:widowControl/>
              <w:jc w:val="left"/>
              <w:rPr>
                <w:rFonts w:hAnsi="楷体" w:eastAsia="楷体"/>
                <w:kern w:val="0"/>
                <w:sz w:val="20"/>
                <w:szCs w:val="20"/>
              </w:rPr>
            </w:pPr>
          </w:p>
        </w:tc>
        <w:tc>
          <w:tcPr>
            <w:tcW w:w="2277" w:type="dxa"/>
            <w:tcBorders>
              <w:top w:val="nil"/>
              <w:left w:val="nil"/>
              <w:bottom w:val="single" w:color="auto" w:sz="8" w:space="0"/>
              <w:right w:val="single" w:color="auto" w:sz="8" w:space="0"/>
            </w:tcBorders>
            <w:vAlign w:val="center"/>
          </w:tcPr>
          <w:p>
            <w:pPr>
              <w:widowControl/>
              <w:jc w:val="left"/>
              <w:rPr>
                <w:rFonts w:hAnsi="楷体" w:eastAsia="楷体"/>
                <w:kern w:val="0"/>
                <w:sz w:val="20"/>
                <w:szCs w:val="20"/>
              </w:rPr>
            </w:pPr>
            <w:r>
              <w:rPr>
                <w:rFonts w:hint="eastAsia" w:hAnsi="楷体" w:eastAsia="楷体"/>
                <w:kern w:val="0"/>
                <w:sz w:val="20"/>
                <w:szCs w:val="20"/>
              </w:rPr>
              <w:t>2.申请人逾期未按收费通知要求缴纳费用、行政机关不再处理其政府信息公开申请</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90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8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r>
      <w:tr>
        <w:tblPrEx>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kern w:val="0"/>
                <w:sz w:val="24"/>
              </w:rPr>
            </w:pPr>
          </w:p>
        </w:tc>
        <w:tc>
          <w:tcPr>
            <w:tcW w:w="708" w:type="dxa"/>
            <w:vMerge w:val="continue"/>
            <w:tcBorders>
              <w:left w:val="nil"/>
              <w:bottom w:val="single" w:color="auto" w:sz="8" w:space="0"/>
              <w:right w:val="single" w:color="auto" w:sz="8" w:space="0"/>
            </w:tcBorders>
            <w:vAlign w:val="center"/>
          </w:tcPr>
          <w:p>
            <w:pPr>
              <w:widowControl/>
              <w:jc w:val="left"/>
              <w:rPr>
                <w:rFonts w:hAnsi="楷体" w:eastAsia="楷体"/>
                <w:kern w:val="0"/>
                <w:sz w:val="20"/>
                <w:szCs w:val="20"/>
              </w:rPr>
            </w:pPr>
          </w:p>
        </w:tc>
        <w:tc>
          <w:tcPr>
            <w:tcW w:w="2277" w:type="dxa"/>
            <w:tcBorders>
              <w:top w:val="nil"/>
              <w:left w:val="nil"/>
              <w:bottom w:val="single" w:color="auto" w:sz="8" w:space="0"/>
              <w:right w:val="single" w:color="auto" w:sz="8" w:space="0"/>
            </w:tcBorders>
            <w:vAlign w:val="center"/>
          </w:tcPr>
          <w:p>
            <w:pPr>
              <w:widowControl/>
              <w:jc w:val="left"/>
              <w:rPr>
                <w:rFonts w:hAnsi="楷体" w:eastAsia="楷体"/>
                <w:kern w:val="0"/>
                <w:sz w:val="20"/>
                <w:szCs w:val="20"/>
              </w:rPr>
            </w:pPr>
            <w:r>
              <w:rPr>
                <w:rFonts w:hint="eastAsia" w:hAnsi="楷体" w:eastAsia="楷体"/>
                <w:kern w:val="0"/>
                <w:sz w:val="20"/>
                <w:szCs w:val="20"/>
              </w:rPr>
              <w:t>3.其他</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90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8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r>
      <w:tr>
        <w:tblPrEx>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kern w:val="0"/>
                <w:sz w:val="24"/>
              </w:rPr>
            </w:pPr>
          </w:p>
        </w:tc>
        <w:tc>
          <w:tcPr>
            <w:tcW w:w="2985" w:type="dxa"/>
            <w:gridSpan w:val="2"/>
            <w:tcBorders>
              <w:top w:val="nil"/>
              <w:left w:val="nil"/>
              <w:bottom w:val="single" w:color="auto" w:sz="8" w:space="0"/>
              <w:right w:val="single" w:color="auto" w:sz="8" w:space="0"/>
            </w:tcBorders>
            <w:vAlign w:val="center"/>
          </w:tcPr>
          <w:p>
            <w:pPr>
              <w:widowControl/>
              <w:jc w:val="left"/>
              <w:rPr>
                <w:kern w:val="0"/>
                <w:sz w:val="24"/>
              </w:rPr>
            </w:pPr>
            <w:r>
              <w:rPr>
                <w:rFonts w:hAnsi="楷体" w:eastAsia="楷体"/>
                <w:kern w:val="0"/>
                <w:sz w:val="20"/>
                <w:szCs w:val="20"/>
              </w:rPr>
              <w:t>（七）总计</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0"/>
                <w:szCs w:val="20"/>
              </w:rPr>
            </w:pPr>
            <w:r>
              <w:rPr>
                <w:rFonts w:hint="eastAsia"/>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0"/>
                <w:szCs w:val="20"/>
              </w:rPr>
            </w:pPr>
            <w:r>
              <w:rPr>
                <w:rFonts w:hint="eastAsia"/>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0"/>
                <w:szCs w:val="20"/>
              </w:rPr>
            </w:pPr>
            <w:r>
              <w:rPr>
                <w:rFonts w:hint="eastAsia"/>
                <w:kern w:val="0"/>
                <w:sz w:val="20"/>
                <w:szCs w:val="20"/>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0"/>
                <w:szCs w:val="20"/>
              </w:rPr>
            </w:pPr>
            <w:r>
              <w:rPr>
                <w:rFonts w:hint="eastAsia"/>
                <w:kern w:val="0"/>
                <w:sz w:val="20"/>
                <w:szCs w:val="20"/>
                <w:lang w:val="en-US" w:eastAsia="zh-CN"/>
              </w:rPr>
              <w:t>0</w:t>
            </w:r>
          </w:p>
        </w:tc>
        <w:tc>
          <w:tcPr>
            <w:tcW w:w="90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0"/>
                <w:szCs w:val="20"/>
              </w:rPr>
            </w:pPr>
            <w:r>
              <w:rPr>
                <w:rFonts w:hint="eastAsia"/>
                <w:kern w:val="0"/>
                <w:sz w:val="20"/>
                <w:szCs w:val="20"/>
                <w:lang w:val="en-US" w:eastAsia="zh-CN"/>
              </w:rPr>
              <w:t>0</w:t>
            </w:r>
          </w:p>
        </w:tc>
        <w:tc>
          <w:tcPr>
            <w:tcW w:w="8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0"/>
                <w:szCs w:val="20"/>
              </w:rPr>
            </w:pPr>
            <w:r>
              <w:rPr>
                <w:rFonts w:hint="eastAsia"/>
                <w:kern w:val="0"/>
                <w:sz w:val="20"/>
                <w:szCs w:val="20"/>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0"/>
                <w:szCs w:val="20"/>
              </w:rPr>
            </w:pPr>
            <w:r>
              <w:rPr>
                <w:rFonts w:hint="eastAsia"/>
                <w:kern w:val="0"/>
                <w:sz w:val="20"/>
                <w:szCs w:val="20"/>
                <w:lang w:val="en-US" w:eastAsia="zh-CN"/>
              </w:rPr>
              <w:t>0</w:t>
            </w:r>
          </w:p>
        </w:tc>
      </w:tr>
      <w:tr>
        <w:tblPrEx>
          <w:tblCellMar>
            <w:top w:w="0" w:type="dxa"/>
            <w:left w:w="0" w:type="dxa"/>
            <w:bottom w:w="0" w:type="dxa"/>
            <w:right w:w="0" w:type="dxa"/>
          </w:tblCellMar>
        </w:tblPrEx>
        <w:trPr>
          <w:trHeight w:val="452" w:hRule="atLeast"/>
          <w:jc w:val="center"/>
        </w:trPr>
        <w:tc>
          <w:tcPr>
            <w:tcW w:w="3479" w:type="dxa"/>
            <w:gridSpan w:val="3"/>
            <w:tcBorders>
              <w:top w:val="nil"/>
              <w:left w:val="single" w:color="auto" w:sz="8" w:space="0"/>
              <w:bottom w:val="single" w:color="auto" w:sz="8" w:space="0"/>
              <w:right w:val="single" w:color="auto" w:sz="8" w:space="0"/>
            </w:tcBorders>
            <w:vAlign w:val="center"/>
          </w:tcPr>
          <w:p>
            <w:pPr>
              <w:widowControl/>
              <w:jc w:val="left"/>
              <w:rPr>
                <w:kern w:val="0"/>
                <w:sz w:val="24"/>
              </w:rPr>
            </w:pPr>
            <w:r>
              <w:rPr>
                <w:rFonts w:hAnsi="宋体"/>
                <w:kern w:val="0"/>
                <w:sz w:val="20"/>
                <w:szCs w:val="20"/>
              </w:rPr>
              <w:t>四、结转下年度继续办理</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90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8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r>
    </w:tbl>
    <w:p>
      <w:pPr>
        <w:jc w:val="center"/>
        <w:rPr>
          <w:rFonts w:hint="eastAsia"/>
        </w:rPr>
      </w:pPr>
    </w:p>
    <w:p>
      <w:pPr>
        <w:jc w:val="left"/>
        <w:rPr>
          <w:rFonts w:hint="eastAsia" w:ascii="黑体" w:hAnsi="黑体" w:eastAsia="黑体" w:cs="黑体"/>
          <w:sz w:val="30"/>
          <w:szCs w:val="30"/>
        </w:rPr>
      </w:pPr>
      <w:r>
        <w:rPr>
          <w:rFonts w:hint="eastAsia" w:ascii="黑体" w:hAnsi="黑体" w:eastAsia="黑体" w:cs="黑体"/>
          <w:sz w:val="30"/>
          <w:szCs w:val="30"/>
        </w:rPr>
        <w:t>四、政府信息公开行政复议、行政诉讼情况</w:t>
      </w:r>
    </w:p>
    <w:p>
      <w:pPr>
        <w:jc w:val="center"/>
        <w:rPr>
          <w:rFonts w:hint="eastAsia"/>
        </w:rPr>
      </w:pPr>
    </w:p>
    <w:tbl>
      <w:tblPr>
        <w:tblStyle w:val="3"/>
        <w:tblW w:w="9071" w:type="dxa"/>
        <w:jc w:val="center"/>
        <w:tblLayout w:type="autofit"/>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CellMar>
            <w:top w:w="0" w:type="dxa"/>
            <w:left w:w="0" w:type="dxa"/>
            <w:bottom w:w="0" w:type="dxa"/>
            <w:right w:w="0"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Ansi="宋体"/>
                <w:kern w:val="0"/>
                <w:sz w:val="20"/>
                <w:szCs w:val="20"/>
              </w:rPr>
              <w:t>行政复议</w:t>
            </w:r>
          </w:p>
        </w:tc>
        <w:tc>
          <w:tcPr>
            <w:tcW w:w="5997" w:type="dxa"/>
            <w:gridSpan w:val="10"/>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Ansi="宋体"/>
                <w:kern w:val="0"/>
                <w:sz w:val="20"/>
                <w:szCs w:val="20"/>
              </w:rPr>
              <w:t>行政诉讼</w:t>
            </w:r>
          </w:p>
        </w:tc>
      </w:tr>
      <w:tr>
        <w:tblPrEx>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Ansi="宋体"/>
                <w:kern w:val="0"/>
                <w:sz w:val="20"/>
                <w:szCs w:val="20"/>
              </w:rPr>
              <w:t>结果维持</w:t>
            </w:r>
          </w:p>
        </w:tc>
        <w:tc>
          <w:tcPr>
            <w:tcW w:w="60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Ansi="宋体"/>
                <w:kern w:val="0"/>
                <w:sz w:val="20"/>
                <w:szCs w:val="20"/>
              </w:rPr>
              <w:t>结果纠正</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Ansi="宋体"/>
                <w:kern w:val="0"/>
                <w:sz w:val="20"/>
                <w:szCs w:val="20"/>
              </w:rPr>
              <w:t>其他结果</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Ansi="宋体"/>
                <w:kern w:val="0"/>
                <w:sz w:val="20"/>
                <w:szCs w:val="20"/>
              </w:rPr>
              <w:t>尚未审结</w:t>
            </w:r>
          </w:p>
        </w:tc>
        <w:tc>
          <w:tcPr>
            <w:tcW w:w="658"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Ansi="宋体"/>
                <w:kern w:val="0"/>
                <w:sz w:val="20"/>
                <w:szCs w:val="20"/>
              </w:rPr>
              <w:t>总计</w:t>
            </w:r>
          </w:p>
        </w:tc>
        <w:tc>
          <w:tcPr>
            <w:tcW w:w="2970"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Ansi="宋体"/>
                <w:kern w:val="0"/>
                <w:sz w:val="20"/>
                <w:szCs w:val="20"/>
              </w:rPr>
              <w:t>未经复议直接起诉</w:t>
            </w:r>
          </w:p>
        </w:tc>
        <w:tc>
          <w:tcPr>
            <w:tcW w:w="3027"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Ansi="宋体"/>
                <w:kern w:val="0"/>
                <w:sz w:val="20"/>
                <w:szCs w:val="20"/>
              </w:rPr>
              <w:t>复议后起诉</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kern w:val="0"/>
                <w:sz w:val="24"/>
              </w:rPr>
            </w:pPr>
          </w:p>
        </w:tc>
        <w:tc>
          <w:tcPr>
            <w:tcW w:w="0" w:type="auto"/>
            <w:vMerge w:val="continue"/>
            <w:tcBorders>
              <w:top w:val="nil"/>
              <w:left w:val="nil"/>
              <w:bottom w:val="single" w:color="auto" w:sz="8" w:space="0"/>
              <w:right w:val="single" w:color="auto" w:sz="8" w:space="0"/>
            </w:tcBorders>
            <w:vAlign w:val="center"/>
          </w:tcPr>
          <w:p>
            <w:pPr>
              <w:widowControl/>
              <w:jc w:val="left"/>
              <w:rPr>
                <w:kern w:val="0"/>
                <w:sz w:val="24"/>
              </w:rPr>
            </w:pP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kern w:val="0"/>
                <w:sz w:val="24"/>
              </w:rPr>
            </w:pP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kern w:val="0"/>
                <w:sz w:val="24"/>
              </w:rPr>
            </w:pP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kern w:val="0"/>
                <w:sz w:val="24"/>
              </w:rPr>
            </w:pP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Ansi="宋体"/>
                <w:kern w:val="0"/>
                <w:sz w:val="20"/>
                <w:szCs w:val="20"/>
              </w:rPr>
              <w:t>结果维持</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Ansi="宋体"/>
                <w:kern w:val="0"/>
                <w:sz w:val="20"/>
                <w:szCs w:val="20"/>
              </w:rPr>
              <w:t>结果纠正</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Ansi="宋体"/>
                <w:kern w:val="0"/>
                <w:sz w:val="20"/>
                <w:szCs w:val="20"/>
              </w:rPr>
              <w:t>其他结果</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Ansi="宋体"/>
                <w:kern w:val="0"/>
                <w:sz w:val="20"/>
                <w:szCs w:val="20"/>
              </w:rPr>
              <w:t>尚未审结</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Ansi="宋体"/>
                <w:kern w:val="0"/>
                <w:sz w:val="20"/>
                <w:szCs w:val="20"/>
              </w:rPr>
              <w:t>总计</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Ansi="宋体"/>
                <w:kern w:val="0"/>
                <w:sz w:val="20"/>
                <w:szCs w:val="20"/>
              </w:rPr>
              <w:t>结果维持</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Ansi="宋体"/>
                <w:kern w:val="0"/>
                <w:sz w:val="20"/>
                <w:szCs w:val="20"/>
              </w:rPr>
              <w:t>结果纠正</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Ansi="宋体"/>
                <w:kern w:val="0"/>
                <w:sz w:val="20"/>
                <w:szCs w:val="20"/>
              </w:rPr>
              <w:t>其他结果</w:t>
            </w:r>
          </w:p>
        </w:tc>
        <w:tc>
          <w:tcPr>
            <w:tcW w:w="6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Ansi="宋体"/>
                <w:kern w:val="0"/>
                <w:sz w:val="20"/>
                <w:szCs w:val="20"/>
              </w:rPr>
              <w:t>尚未审结</w:t>
            </w:r>
          </w:p>
        </w:tc>
        <w:tc>
          <w:tcPr>
            <w:tcW w:w="6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Ansi="宋体"/>
                <w:kern w:val="0"/>
                <w:sz w:val="20"/>
                <w:szCs w:val="20"/>
              </w:rPr>
              <w:t>总计</w:t>
            </w:r>
          </w:p>
        </w:tc>
      </w:tr>
      <w:tr>
        <w:tblPrEx>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4"/>
                <w:lang w:val="en-US" w:eastAsia="zh-CN"/>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6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r>
    </w:tbl>
    <w:p>
      <w:pPr>
        <w:jc w:val="both"/>
        <w:rPr>
          <w:rFonts w:hint="eastAsia"/>
        </w:rPr>
      </w:pPr>
    </w:p>
    <w:p>
      <w:pPr>
        <w:jc w:val="left"/>
        <w:rPr>
          <w:rFonts w:hint="eastAsia"/>
        </w:rPr>
      </w:pPr>
      <w:r>
        <w:rPr>
          <w:rFonts w:hint="eastAsia" w:ascii="黑体" w:hAnsi="黑体" w:eastAsia="黑体" w:cs="黑体"/>
          <w:sz w:val="30"/>
          <w:szCs w:val="30"/>
        </w:rPr>
        <w:t>五、存在的主要问题及改进情况</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eastAsia="zh-CN"/>
        </w:rPr>
        <w:t>存在问题：一是信息公开的意识有待进一步提高，信息公开的内容有待进一步丰富和完善；二是信息公开发布的范围还不够全面；三是政策解读需要进一步提高质量。</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eastAsia="zh-CN"/>
        </w:rPr>
        <w:t>改进措施：一是加大信息公开力度。主动收集公开信息，跟进办事程序，及时准确公布办事结果，不断增强工作透明度；二是完善政务信息公开机制，扩大公开范围，拓展公开渠道，推动政务信息公开工作有效落实。三积极主动做好社会公众对城市管理信息的痛点和热点问题回应关切，加强与区政府信息联动，资源共享，信息联通，努力增强我局政务公开工作的主动性和实效性。</w:t>
      </w:r>
    </w:p>
    <w:p>
      <w:pPr>
        <w:jc w:val="left"/>
        <w:rPr>
          <w:rFonts w:hint="eastAsia" w:ascii="仿宋_GB2312" w:hAnsi="仿宋_GB2312" w:eastAsia="仿宋_GB2312" w:cs="仿宋_GB2312"/>
          <w:sz w:val="30"/>
          <w:szCs w:val="30"/>
        </w:rPr>
      </w:pPr>
      <w:r>
        <w:rPr>
          <w:rFonts w:hint="eastAsia" w:ascii="黑体" w:hAnsi="黑体" w:eastAsia="黑体" w:cs="黑体"/>
          <w:sz w:val="30"/>
          <w:szCs w:val="30"/>
        </w:rPr>
        <w:t>六、其他需要报告的事项</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按照《国务院办公厅关于印发&lt;政府信息公开信息处理费管理办法&gt;的通知》（国办函〔2020〕109号）规定的按件、按量收费标准，本年度没有产生信息公开处理费。</w:t>
      </w:r>
    </w:p>
    <w:p>
      <w:pPr>
        <w:jc w:val="both"/>
        <w:rPr>
          <w:rFonts w:hint="eastAsia"/>
        </w:rPr>
      </w:pPr>
    </w:p>
    <w:p>
      <w:pPr>
        <w:jc w:val="both"/>
        <w:rPr>
          <w:rFonts w:hint="eastAsia"/>
        </w:rPr>
      </w:pPr>
    </w:p>
    <w:sectPr>
      <w:pgSz w:w="11906" w:h="16838"/>
      <w:pgMar w:top="1814" w:right="1531" w:bottom="1417"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75A99D"/>
    <w:multiLevelType w:val="singleLevel"/>
    <w:tmpl w:val="8A75A99D"/>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E1MGZlZGMwYjliYmFiMTE1ZDc1NjMxOGM5OTg5MDUifQ=="/>
  </w:docVars>
  <w:rsids>
    <w:rsidRoot w:val="00000000"/>
    <w:rsid w:val="018E62F1"/>
    <w:rsid w:val="06E04A7D"/>
    <w:rsid w:val="0B3B1457"/>
    <w:rsid w:val="0B6C2785"/>
    <w:rsid w:val="14F97E15"/>
    <w:rsid w:val="152658C0"/>
    <w:rsid w:val="15E45EA7"/>
    <w:rsid w:val="27CA0660"/>
    <w:rsid w:val="2B3D1D31"/>
    <w:rsid w:val="2CD11238"/>
    <w:rsid w:val="3029128E"/>
    <w:rsid w:val="37431EBB"/>
    <w:rsid w:val="3F796FCF"/>
    <w:rsid w:val="40904761"/>
    <w:rsid w:val="4235657F"/>
    <w:rsid w:val="497940D4"/>
    <w:rsid w:val="4A2644D8"/>
    <w:rsid w:val="58605528"/>
    <w:rsid w:val="61964309"/>
    <w:rsid w:val="633D060E"/>
    <w:rsid w:val="6B992C20"/>
    <w:rsid w:val="6D692923"/>
    <w:rsid w:val="6FCF065F"/>
    <w:rsid w:val="70726075"/>
    <w:rsid w:val="70920F76"/>
    <w:rsid w:val="73ED58BF"/>
    <w:rsid w:val="78AE5C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2504</Words>
  <Characters>2588</Characters>
  <Lines>0</Lines>
  <Paragraphs>0</Paragraphs>
  <TotalTime>16</TotalTime>
  <ScaleCrop>false</ScaleCrop>
  <LinksUpToDate>false</LinksUpToDate>
  <CharactersWithSpaces>2588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2021-10-09T00:52:00Z</dcterms:created>
  <dc:creator>Administrator</dc:creator>
  <cp:lastModifiedBy>夜影之水</cp:lastModifiedBy>
  <dcterms:modified xsi:type="dcterms:W3CDTF">2023-01-10T01:28:40Z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80DD05B0A716456A8264DE5C99E28633</vt:lpwstr>
  </property>
</Properties>
</file>