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滁州市南谯区投资促进局2022年度政府</w:t>
      </w:r>
      <w:r>
        <w:rPr>
          <w:rFonts w:hint="eastAsia" w:ascii="方正小标宋简体" w:hAnsi="方正小标宋简体" w:eastAsia="方正小标宋简体" w:cs="方正小标宋简体"/>
          <w:sz w:val="44"/>
          <w:szCs w:val="44"/>
        </w:rPr>
        <w:t>信息</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公开工作年度报告</w:t>
      </w:r>
    </w:p>
    <w:p>
      <w:pPr>
        <w:jc w:val="cente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sz w:val="30"/>
          <w:szCs w:val="30"/>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本报告是《中华人民共和国政府信息公开条例》确立的法定制度安排，按照《中华人民共和国政府信息公开工作年度报告格式》要求，</w:t>
      </w:r>
      <w:r>
        <w:rPr>
          <w:rFonts w:hint="eastAsia" w:ascii="仿宋_GB2312" w:hAnsi="仿宋_GB2312" w:eastAsia="仿宋_GB2312" w:cs="仿宋_GB2312"/>
          <w:sz w:val="30"/>
          <w:szCs w:val="30"/>
          <w:lang w:val="en-US" w:eastAsia="zh-CN"/>
        </w:rPr>
        <w:t>由滁州市南谯</w:t>
      </w:r>
      <w:r>
        <w:rPr>
          <w:rFonts w:hint="eastAsia" w:ascii="仿宋_GB2312" w:hAnsi="仿宋_GB2312" w:eastAsia="仿宋_GB2312" w:cs="仿宋_GB2312"/>
          <w:sz w:val="30"/>
          <w:szCs w:val="30"/>
          <w:lang w:eastAsia="zh-CN"/>
        </w:rPr>
        <w:t>区</w:t>
      </w:r>
      <w:r>
        <w:rPr>
          <w:rFonts w:hint="eastAsia" w:ascii="仿宋_GB2312" w:hAnsi="仿宋_GB2312" w:eastAsia="仿宋_GB2312" w:cs="仿宋_GB2312"/>
          <w:sz w:val="30"/>
          <w:szCs w:val="30"/>
          <w:lang w:val="en-US" w:eastAsia="zh-CN"/>
        </w:rPr>
        <w:t>投资促进局</w:t>
      </w:r>
      <w:r>
        <w:rPr>
          <w:rFonts w:hint="eastAsia" w:ascii="仿宋_GB2312" w:hAnsi="仿宋_GB2312" w:eastAsia="仿宋_GB2312" w:cs="仿宋_GB2312"/>
          <w:sz w:val="30"/>
          <w:szCs w:val="30"/>
          <w:lang w:eastAsia="zh-CN"/>
        </w:rPr>
        <w:t>编制。本报告主要由总体情况，主动公开政府信息情况，收到和处理政府信息公开申请情况，政府信息公开行政复议、行政诉讼情况，存在的主要问题及改进情况，其他需要报告的事项等部分组成。本报告中所列数据的统计期限自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年1月1日起至202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年12月31日止。本报告以网上公开的形式进行公布。如对本报告有任何疑问，请与</w:t>
      </w:r>
      <w:r>
        <w:rPr>
          <w:rFonts w:hint="eastAsia" w:ascii="仿宋_GB2312" w:hAnsi="仿宋_GB2312" w:eastAsia="仿宋_GB2312" w:cs="仿宋_GB2312"/>
          <w:sz w:val="30"/>
          <w:szCs w:val="30"/>
          <w:lang w:val="en-US" w:eastAsia="zh-CN"/>
        </w:rPr>
        <w:t>滁州市</w:t>
      </w:r>
      <w:r>
        <w:rPr>
          <w:rFonts w:hint="eastAsia" w:ascii="仿宋_GB2312" w:hAnsi="仿宋_GB2312" w:eastAsia="仿宋_GB2312" w:cs="仿宋_GB2312"/>
          <w:sz w:val="30"/>
          <w:szCs w:val="30"/>
          <w:lang w:eastAsia="zh-CN"/>
        </w:rPr>
        <w:t>南谯区</w:t>
      </w:r>
      <w:r>
        <w:rPr>
          <w:rFonts w:hint="eastAsia" w:ascii="仿宋_GB2312" w:hAnsi="仿宋_GB2312" w:eastAsia="仿宋_GB2312" w:cs="仿宋_GB2312"/>
          <w:sz w:val="30"/>
          <w:szCs w:val="30"/>
          <w:lang w:val="en-US" w:eastAsia="zh-CN"/>
        </w:rPr>
        <w:t>投资促进局</w:t>
      </w:r>
      <w:r>
        <w:rPr>
          <w:rFonts w:hint="eastAsia" w:ascii="仿宋_GB2312" w:hAnsi="仿宋_GB2312" w:eastAsia="仿宋_GB2312" w:cs="仿宋_GB2312"/>
          <w:sz w:val="30"/>
          <w:szCs w:val="30"/>
          <w:lang w:eastAsia="zh-CN"/>
        </w:rPr>
        <w:t>联系（地址：南谯政务新区</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lang w:eastAsia="zh-CN"/>
        </w:rPr>
        <w:t>号楼</w:t>
      </w:r>
      <w:r>
        <w:rPr>
          <w:rFonts w:hint="eastAsia" w:ascii="仿宋_GB2312" w:hAnsi="仿宋_GB2312" w:eastAsia="仿宋_GB2312" w:cs="仿宋_GB2312"/>
          <w:sz w:val="30"/>
          <w:szCs w:val="30"/>
          <w:lang w:val="en-US" w:eastAsia="zh-CN"/>
        </w:rPr>
        <w:t>323</w:t>
      </w:r>
      <w:r>
        <w:rPr>
          <w:rFonts w:hint="eastAsia" w:ascii="仿宋_GB2312" w:hAnsi="仿宋_GB2312" w:eastAsia="仿宋_GB2312" w:cs="仿宋_GB2312"/>
          <w:sz w:val="30"/>
          <w:szCs w:val="30"/>
          <w:lang w:eastAsia="zh-CN"/>
        </w:rPr>
        <w:t>办公室，电话:0550-31</w:t>
      </w:r>
      <w:r>
        <w:rPr>
          <w:rFonts w:hint="eastAsia" w:ascii="仿宋_GB2312" w:hAnsi="仿宋_GB2312" w:eastAsia="仿宋_GB2312" w:cs="仿宋_GB2312"/>
          <w:sz w:val="30"/>
          <w:szCs w:val="30"/>
          <w:lang w:val="en-US" w:eastAsia="zh-CN"/>
        </w:rPr>
        <w:t>01102</w:t>
      </w:r>
      <w:r>
        <w:rPr>
          <w:rFonts w:hint="eastAsia" w:ascii="仿宋_GB2312" w:hAnsi="仿宋_GB2312" w:eastAsia="仿宋_GB2312" w:cs="仿宋_GB2312"/>
          <w:sz w:val="30"/>
          <w:szCs w:val="30"/>
          <w:lang w:eastAsia="zh-CN"/>
        </w:rPr>
        <w:t>，邮箱：nqqzsj</w:t>
      </w:r>
      <w:r>
        <w:rPr>
          <w:rFonts w:hint="eastAsia" w:ascii="仿宋_GB2312" w:hAnsi="仿宋_GB2312" w:eastAsia="仿宋_GB2312" w:cs="仿宋_GB2312"/>
          <w:sz w:val="30"/>
          <w:szCs w:val="30"/>
          <w:lang w:val="en-US" w:eastAsia="zh-CN"/>
        </w:rPr>
        <w:t>@163.com</w:t>
      </w:r>
      <w:r>
        <w:rPr>
          <w:rFonts w:hint="eastAsia" w:ascii="仿宋_GB2312" w:hAnsi="仿宋_GB2312" w:eastAsia="仿宋_GB2312" w:cs="仿宋_GB2312"/>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sz w:val="30"/>
          <w:szCs w:val="30"/>
          <w:lang w:eastAsia="zh-CN"/>
        </w:rPr>
      </w:pPr>
      <w:r>
        <w:rPr>
          <w:rFonts w:hint="eastAsia" w:ascii="黑体" w:hAnsi="黑体" w:eastAsia="黑体" w:cs="黑体"/>
          <w:sz w:val="30"/>
          <w:szCs w:val="30"/>
        </w:rPr>
        <w:t>一、总体情况</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我局全面贯彻落实各项政务公开文件精神，按照文件要求，全面安排部署</w:t>
      </w:r>
      <w:r>
        <w:rPr>
          <w:rFonts w:hint="eastAsia" w:ascii="仿宋_GB2312" w:hAnsi="仿宋_GB2312" w:eastAsia="仿宋_GB2312" w:cs="仿宋_GB2312"/>
          <w:sz w:val="30"/>
          <w:szCs w:val="30"/>
          <w:lang w:val="en-US" w:eastAsia="zh-CN"/>
        </w:rPr>
        <w:t>投促</w:t>
      </w:r>
      <w:r>
        <w:rPr>
          <w:rFonts w:hint="eastAsia" w:ascii="仿宋_GB2312" w:hAnsi="仿宋_GB2312" w:eastAsia="仿宋_GB2312" w:cs="仿宋_GB2312"/>
          <w:sz w:val="30"/>
          <w:szCs w:val="30"/>
          <w:lang w:eastAsia="zh-CN"/>
        </w:rPr>
        <w:t>局202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eastAsia="zh-CN"/>
        </w:rPr>
        <w:t>年政务公开工作。</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jc w:val="left"/>
        <w:textAlignment w:val="auto"/>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主动公开。</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color w:val="0000FF"/>
          <w:sz w:val="30"/>
          <w:szCs w:val="30"/>
          <w:lang w:eastAsia="zh-CN"/>
        </w:rPr>
      </w:pPr>
      <w:r>
        <w:rPr>
          <w:rFonts w:hint="eastAsia" w:ascii="仿宋_GB2312" w:hAnsi="仿宋_GB2312" w:eastAsia="仿宋_GB2312" w:cs="仿宋_GB2312"/>
          <w:color w:val="auto"/>
          <w:sz w:val="30"/>
          <w:szCs w:val="30"/>
          <w:lang w:val="en-US" w:eastAsia="zh-CN"/>
        </w:rPr>
        <w:t>2022</w:t>
      </w:r>
      <w:r>
        <w:rPr>
          <w:rFonts w:hint="eastAsia" w:ascii="仿宋_GB2312" w:hAnsi="仿宋_GB2312" w:eastAsia="仿宋_GB2312" w:cs="仿宋_GB2312"/>
          <w:color w:val="auto"/>
          <w:sz w:val="30"/>
          <w:szCs w:val="30"/>
          <w:lang w:eastAsia="zh-CN"/>
        </w:rPr>
        <w:t>年，我</w:t>
      </w:r>
      <w:r>
        <w:rPr>
          <w:rFonts w:hint="eastAsia" w:ascii="仿宋_GB2312" w:hAnsi="仿宋_GB2312" w:eastAsia="仿宋_GB2312" w:cs="仿宋_GB2312"/>
          <w:color w:val="auto"/>
          <w:sz w:val="30"/>
          <w:szCs w:val="30"/>
          <w:lang w:val="en-US" w:eastAsia="zh-CN"/>
        </w:rPr>
        <w:t>局</w:t>
      </w:r>
      <w:r>
        <w:rPr>
          <w:rFonts w:hint="eastAsia" w:ascii="仿宋_GB2312" w:hAnsi="仿宋_GB2312" w:eastAsia="仿宋_GB2312" w:cs="仿宋_GB2312"/>
          <w:color w:val="auto"/>
          <w:sz w:val="30"/>
          <w:szCs w:val="30"/>
          <w:lang w:eastAsia="zh-CN"/>
        </w:rPr>
        <w:t>通过南谯政府信息公开目录主动公开政府信息</w:t>
      </w:r>
      <w:r>
        <w:rPr>
          <w:rFonts w:hint="eastAsia" w:ascii="仿宋_GB2312" w:hAnsi="仿宋_GB2312" w:eastAsia="仿宋_GB2312" w:cs="仿宋_GB2312"/>
          <w:color w:val="auto"/>
          <w:sz w:val="30"/>
          <w:szCs w:val="30"/>
          <w:lang w:val="en-US" w:eastAsia="zh-CN"/>
        </w:rPr>
        <w:t>54</w:t>
      </w:r>
      <w:r>
        <w:rPr>
          <w:rFonts w:hint="eastAsia" w:ascii="仿宋_GB2312" w:hAnsi="仿宋_GB2312" w:eastAsia="仿宋_GB2312" w:cs="仿宋_GB2312"/>
          <w:color w:val="auto"/>
          <w:sz w:val="30"/>
          <w:szCs w:val="30"/>
          <w:lang w:eastAsia="zh-CN"/>
        </w:rPr>
        <w:t>条，其中组机构领导信息13条，部门文件10条，</w:t>
      </w:r>
      <w:r>
        <w:rPr>
          <w:rFonts w:hint="eastAsia" w:ascii="仿宋_GB2312" w:hAnsi="仿宋_GB2312" w:eastAsia="仿宋_GB2312" w:cs="仿宋_GB2312"/>
          <w:color w:val="auto"/>
          <w:sz w:val="30"/>
          <w:szCs w:val="30"/>
          <w:lang w:val="en-US" w:eastAsia="zh-CN"/>
        </w:rPr>
        <w:t>政策法规4条、决策部署落实情况5条、</w:t>
      </w:r>
      <w:r>
        <w:rPr>
          <w:rFonts w:hint="eastAsia" w:ascii="仿宋_GB2312" w:hAnsi="仿宋_GB2312" w:eastAsia="仿宋_GB2312" w:cs="仿宋_GB2312"/>
          <w:color w:val="auto"/>
          <w:sz w:val="30"/>
          <w:szCs w:val="30"/>
          <w:lang w:eastAsia="zh-CN"/>
        </w:rPr>
        <w:t>财政资金</w:t>
      </w:r>
      <w:r>
        <w:rPr>
          <w:rFonts w:hint="eastAsia" w:ascii="仿宋_GB2312" w:hAnsi="仿宋_GB2312" w:eastAsia="仿宋_GB2312" w:cs="仿宋_GB2312"/>
          <w:color w:val="auto"/>
          <w:sz w:val="30"/>
          <w:szCs w:val="30"/>
          <w:lang w:val="en-US" w:eastAsia="zh-CN"/>
        </w:rPr>
        <w:t>6</w:t>
      </w:r>
      <w:r>
        <w:rPr>
          <w:rFonts w:hint="eastAsia" w:ascii="仿宋_GB2312" w:hAnsi="仿宋_GB2312" w:eastAsia="仿宋_GB2312" w:cs="仿宋_GB2312"/>
          <w:color w:val="auto"/>
          <w:sz w:val="30"/>
          <w:szCs w:val="30"/>
          <w:lang w:eastAsia="zh-CN"/>
        </w:rPr>
        <w:t>条、政策解读信息</w:t>
      </w:r>
      <w:r>
        <w:rPr>
          <w:rFonts w:hint="eastAsia" w:ascii="仿宋_GB2312" w:hAnsi="仿宋_GB2312" w:eastAsia="仿宋_GB2312" w:cs="仿宋_GB2312"/>
          <w:color w:val="auto"/>
          <w:sz w:val="30"/>
          <w:szCs w:val="30"/>
          <w:lang w:val="en-US" w:eastAsia="zh-CN"/>
        </w:rPr>
        <w:t>6</w:t>
      </w:r>
      <w:r>
        <w:rPr>
          <w:rFonts w:hint="eastAsia" w:ascii="仿宋_GB2312" w:hAnsi="仿宋_GB2312" w:eastAsia="仿宋_GB2312" w:cs="仿宋_GB2312"/>
          <w:color w:val="auto"/>
          <w:sz w:val="30"/>
          <w:szCs w:val="30"/>
          <w:lang w:eastAsia="zh-CN"/>
        </w:rPr>
        <w:t>条、</w:t>
      </w:r>
      <w:r>
        <w:rPr>
          <w:rFonts w:hint="eastAsia" w:ascii="仿宋_GB2312" w:hAnsi="仿宋_GB2312" w:eastAsia="仿宋_GB2312" w:cs="仿宋_GB2312"/>
          <w:color w:val="auto"/>
          <w:sz w:val="30"/>
          <w:szCs w:val="30"/>
          <w:lang w:val="en-US" w:eastAsia="zh-CN"/>
        </w:rPr>
        <w:t>组织</w:t>
      </w:r>
      <w:r>
        <w:rPr>
          <w:rFonts w:hint="eastAsia" w:ascii="仿宋_GB2312" w:hAnsi="仿宋_GB2312" w:eastAsia="仿宋_GB2312" w:cs="仿宋_GB2312"/>
          <w:color w:val="auto"/>
          <w:sz w:val="30"/>
          <w:szCs w:val="30"/>
          <w:lang w:eastAsia="zh-CN"/>
        </w:rPr>
        <w:t>机构领导信息</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lang w:eastAsia="zh-CN"/>
        </w:rPr>
        <w:t>条、</w:t>
      </w:r>
      <w:r>
        <w:rPr>
          <w:rFonts w:hint="eastAsia" w:ascii="仿宋_GB2312" w:hAnsi="仿宋_GB2312" w:eastAsia="仿宋_GB2312" w:cs="仿宋_GB2312"/>
          <w:color w:val="auto"/>
          <w:sz w:val="30"/>
          <w:szCs w:val="30"/>
          <w:lang w:eastAsia="zh-CN"/>
        </w:rPr>
        <w:t>信息公开年报1条，政府信息公开指南1条。</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0" w:firstLineChars="0"/>
        <w:jc w:val="left"/>
        <w:textAlignment w:val="auto"/>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依申请公开。</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本年度，我局未收到依申请公开信息。</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0" w:firstLineChars="0"/>
        <w:jc w:val="left"/>
        <w:textAlignment w:val="auto"/>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政府信息管理。</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严格执行上网信息保密审查制度，认真完善网络安全制度体系，不断夯实网络安全管理基础。聚焦网络安全重点，坚持做到涉密文件不上网，上网文件不涉密，截止目前，暂未发生网络安全事故。</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0" w:firstLineChars="0"/>
        <w:jc w:val="left"/>
        <w:textAlignment w:val="auto"/>
        <w:rPr>
          <w:rFonts w:hint="eastAsia" w:ascii="楷体_GB2312" w:hAnsi="楷体_GB2312" w:eastAsia="楷体_GB2312" w:cs="楷体_GB2312"/>
          <w:b/>
          <w:bCs/>
          <w:sz w:val="30"/>
          <w:szCs w:val="30"/>
          <w:lang w:eastAsia="zh-CN"/>
        </w:rPr>
      </w:pPr>
      <w:r>
        <w:rPr>
          <w:rFonts w:hint="eastAsia" w:ascii="楷体_GB2312" w:hAnsi="楷体_GB2312" w:eastAsia="楷体_GB2312" w:cs="楷体_GB2312"/>
          <w:b/>
          <w:bCs/>
          <w:sz w:val="30"/>
          <w:szCs w:val="30"/>
        </w:rPr>
        <w:t>政府信息公开平台建设</w:t>
      </w:r>
      <w:r>
        <w:rPr>
          <w:rFonts w:hint="eastAsia" w:ascii="楷体_GB2312" w:hAnsi="楷体_GB2312" w:eastAsia="楷体_GB2312" w:cs="楷体_GB2312"/>
          <w:b/>
          <w:bCs/>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根据要求，今年我局重新梳理政务信息公开各内容栏目，严格信息发布审核，定期更新栏目内容，不断提高发布质量，切实发挥好</w:t>
      </w:r>
      <w:r>
        <w:rPr>
          <w:rFonts w:hint="eastAsia" w:ascii="仿宋_GB2312" w:hAnsi="仿宋_GB2312" w:eastAsia="仿宋_GB2312" w:cs="仿宋_GB2312"/>
          <w:sz w:val="30"/>
          <w:szCs w:val="30"/>
          <w:lang w:val="en-US" w:eastAsia="zh-CN"/>
        </w:rPr>
        <w:t>招商</w:t>
      </w:r>
      <w:r>
        <w:rPr>
          <w:rFonts w:hint="eastAsia" w:ascii="仿宋_GB2312" w:hAnsi="仿宋_GB2312" w:eastAsia="仿宋_GB2312" w:cs="仿宋_GB2312"/>
          <w:sz w:val="30"/>
          <w:szCs w:val="30"/>
          <w:lang w:eastAsia="zh-CN"/>
        </w:rPr>
        <w:t>宣传主渠道功能。</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0" w:firstLineChars="0"/>
        <w:jc w:val="left"/>
        <w:textAlignment w:val="auto"/>
        <w:rPr>
          <w:rFonts w:hint="eastAsia" w:ascii="楷体_GB2312" w:hAnsi="楷体_GB2312" w:eastAsia="楷体_GB2312" w:cs="楷体_GB2312"/>
          <w:b/>
          <w:bCs/>
          <w:sz w:val="30"/>
          <w:szCs w:val="30"/>
        </w:rPr>
      </w:pPr>
      <w:r>
        <w:rPr>
          <w:rFonts w:hint="eastAsia" w:ascii="楷体_GB2312" w:hAnsi="楷体_GB2312" w:eastAsia="楷体_GB2312" w:cs="楷体_GB2312"/>
          <w:b/>
          <w:bCs/>
          <w:sz w:val="30"/>
          <w:szCs w:val="30"/>
        </w:rPr>
        <w:t>监督保障。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严格贯彻落实新修订的《中华人民共和国政府信息公开条例》，做好宣传培训，组织干部职工学习政务公开政策法规。及时对我局政务信息公开情况进行自查自纠。切实提高公开信息的质量和效率，做到依法依规、覆盖内容广泛、服务形式多样和服务标准规范，确保公民的知情权。进一步规范主动公开、依申请公开政府信息程序，确保政府信息公开的及时性、准确性、权威性和有效性，确保工作执行到位，确保信息公开及时，内容真实有效，确保信息管理常态化、高效化。</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1"/>
          <w:szCs w:val="21"/>
          <w:lang w:eastAsia="zh-CN"/>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黑体" w:hAnsi="黑体" w:eastAsia="黑体" w:cs="黑体"/>
          <w:sz w:val="30"/>
          <w:szCs w:val="30"/>
        </w:rPr>
      </w:pPr>
      <w:r>
        <w:rPr>
          <w:rFonts w:hint="eastAsia" w:ascii="黑体" w:hAnsi="黑体" w:eastAsia="黑体" w:cs="黑体"/>
          <w:sz w:val="30"/>
          <w:szCs w:val="30"/>
        </w:rPr>
        <w:t>二、主动公开政府信息情况</w:t>
      </w:r>
    </w:p>
    <w:p>
      <w:pPr>
        <w:jc w:val="center"/>
        <w:rPr>
          <w:rFonts w:hint="eastAsia"/>
        </w:rPr>
      </w:pPr>
    </w:p>
    <w:tbl>
      <w:tblPr>
        <w:tblStyle w:val="3"/>
        <w:tblW w:w="8140" w:type="dxa"/>
        <w:jc w:val="center"/>
        <w:tblLayout w:type="fixed"/>
        <w:tblCellMar>
          <w:top w:w="0" w:type="dxa"/>
          <w:left w:w="0" w:type="dxa"/>
          <w:bottom w:w="0" w:type="dxa"/>
          <w:right w:w="0" w:type="dxa"/>
        </w:tblCellMar>
      </w:tblPr>
      <w:tblGrid>
        <w:gridCol w:w="3113"/>
        <w:gridCol w:w="1685"/>
        <w:gridCol w:w="1664"/>
        <w:gridCol w:w="1678"/>
      </w:tblGrid>
      <w:tr>
        <w:tblPrEx>
          <w:tblCellMar>
            <w:top w:w="0" w:type="dxa"/>
            <w:left w:w="0" w:type="dxa"/>
            <w:bottom w:w="0" w:type="dxa"/>
            <w:right w:w="0" w:type="dxa"/>
          </w:tblCellMar>
        </w:tblPrEx>
        <w:trPr>
          <w:trHeight w:val="482"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第二十条第（一）项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16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Ansi="宋体"/>
                <w:kern w:val="0"/>
                <w:sz w:val="20"/>
                <w:szCs w:val="20"/>
              </w:rPr>
              <w:t>本年制</w:t>
            </w:r>
            <w:r>
              <w:rPr>
                <w:rFonts w:hint="eastAsia" w:hAnsi="宋体"/>
                <w:kern w:val="0"/>
                <w:sz w:val="20"/>
                <w:szCs w:val="20"/>
                <w:lang w:val="en-US" w:eastAsia="zh-CN"/>
              </w:rPr>
              <w:t>发件数</w:t>
            </w:r>
          </w:p>
        </w:tc>
        <w:tc>
          <w:tcPr>
            <w:tcW w:w="16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Ansi="宋体"/>
                <w:kern w:val="0"/>
                <w:sz w:val="20"/>
                <w:szCs w:val="20"/>
              </w:rPr>
              <w:t>本年</w:t>
            </w:r>
            <w:r>
              <w:rPr>
                <w:rFonts w:hint="eastAsia" w:hAnsi="宋体"/>
                <w:kern w:val="0"/>
                <w:sz w:val="20"/>
                <w:szCs w:val="20"/>
                <w:lang w:val="en-US" w:eastAsia="zh-CN"/>
              </w:rPr>
              <w:t>废止件数</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eastAsiaTheme="minorEastAsia"/>
                <w:kern w:val="0"/>
                <w:sz w:val="24"/>
                <w:lang w:eastAsia="zh-CN"/>
              </w:rPr>
            </w:pPr>
            <w:r>
              <w:rPr>
                <w:rFonts w:hint="eastAsia" w:hAnsi="宋体"/>
                <w:kern w:val="0"/>
                <w:sz w:val="20"/>
                <w:szCs w:val="20"/>
                <w:lang w:val="en-US" w:eastAsia="zh-CN"/>
              </w:rPr>
              <w:t>现行有效件数</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kern w:val="0"/>
                <w:sz w:val="24"/>
              </w:rPr>
            </w:pPr>
            <w:r>
              <w:rPr>
                <w:rFonts w:hAnsi="宋体"/>
                <w:kern w:val="0"/>
                <w:sz w:val="20"/>
                <w:szCs w:val="20"/>
              </w:rPr>
              <w:t>规章</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kern w:val="0"/>
                <w:sz w:val="20"/>
                <w:szCs w:val="20"/>
              </w:rPr>
              <w:t>0</w:t>
            </w:r>
          </w:p>
        </w:tc>
        <w:tc>
          <w:tcPr>
            <w:tcW w:w="16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kern w:val="0"/>
                <w:sz w:val="20"/>
                <w:szCs w:val="20"/>
              </w:rPr>
              <w:t>0</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kern w:val="0"/>
                <w:sz w:val="20"/>
                <w:szCs w:val="20"/>
              </w:rPr>
              <w:t>0</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kern w:val="0"/>
                <w:sz w:val="24"/>
              </w:rPr>
            </w:pPr>
            <w:r>
              <w:rPr>
                <w:rFonts w:hAnsi="宋体"/>
                <w:kern w:val="0"/>
                <w:sz w:val="20"/>
                <w:szCs w:val="20"/>
              </w:rPr>
              <w:t>规范性文件</w:t>
            </w:r>
          </w:p>
        </w:tc>
        <w:tc>
          <w:tcPr>
            <w:tcW w:w="16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16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c>
          <w:tcPr>
            <w:tcW w:w="1678"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第二十条第（五）项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kern w:val="0"/>
                <w:sz w:val="24"/>
              </w:rPr>
            </w:pPr>
            <w:r>
              <w:rPr>
                <w:rFonts w:hAnsi="宋体"/>
                <w:kern w:val="0"/>
                <w:sz w:val="20"/>
                <w:szCs w:val="20"/>
              </w:rPr>
              <w:t>行政许可</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第二十条第（六）项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5027"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本年处理决定数量</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kern w:val="0"/>
                <w:sz w:val="24"/>
              </w:rPr>
            </w:pPr>
            <w:r>
              <w:rPr>
                <w:rFonts w:hAnsi="宋体"/>
                <w:kern w:val="0"/>
                <w:sz w:val="20"/>
                <w:szCs w:val="20"/>
              </w:rPr>
              <w:t>行政处罚</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vAlign w:val="center"/>
          </w:tcPr>
          <w:p>
            <w:pPr>
              <w:widowControl/>
              <w:jc w:val="left"/>
              <w:rPr>
                <w:kern w:val="0"/>
                <w:sz w:val="24"/>
              </w:rPr>
            </w:pPr>
            <w:r>
              <w:rPr>
                <w:rFonts w:hAnsi="宋体"/>
                <w:kern w:val="0"/>
                <w:sz w:val="20"/>
                <w:szCs w:val="20"/>
              </w:rPr>
              <w:t>行政强制</w:t>
            </w:r>
          </w:p>
        </w:tc>
        <w:tc>
          <w:tcPr>
            <w:tcW w:w="5027" w:type="dxa"/>
            <w:gridSpan w:val="3"/>
            <w:tcBorders>
              <w:top w:val="nil"/>
              <w:left w:val="nil"/>
              <w:bottom w:val="single" w:color="auto" w:sz="8" w:space="0"/>
              <w:right w:val="single" w:color="auto" w:sz="8" w:space="0"/>
            </w:tcBorders>
            <w:noWrap/>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trHeight w:val="482"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kern w:val="0"/>
                <w:sz w:val="24"/>
              </w:rPr>
            </w:pPr>
            <w:r>
              <w:rPr>
                <w:rFonts w:hAnsi="宋体"/>
                <w:kern w:val="0"/>
                <w:sz w:val="20"/>
                <w:szCs w:val="20"/>
              </w:rPr>
              <w:t>第二十条第（八）项</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kern w:val="0"/>
                <w:sz w:val="24"/>
              </w:rPr>
            </w:pPr>
            <w:r>
              <w:rPr>
                <w:rFonts w:hAnsi="宋体"/>
                <w:kern w:val="0"/>
                <w:sz w:val="20"/>
                <w:szCs w:val="20"/>
              </w:rPr>
              <w:t>信息内容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eastAsiaTheme="minorEastAsia"/>
                <w:kern w:val="0"/>
                <w:sz w:val="24"/>
                <w:lang w:val="en-US" w:eastAsia="zh-CN"/>
              </w:rPr>
            </w:pPr>
            <w:r>
              <w:rPr>
                <w:rFonts w:hint="eastAsia" w:hAnsi="宋体"/>
                <w:kern w:val="0"/>
                <w:sz w:val="20"/>
                <w:szCs w:val="20"/>
                <w:lang w:val="en-US" w:eastAsia="zh-CN"/>
              </w:rPr>
              <w:t>本年收费金额（单位：万元）</w:t>
            </w:r>
          </w:p>
        </w:tc>
      </w:tr>
      <w:tr>
        <w:tblPrEx>
          <w:tblCellMar>
            <w:top w:w="0" w:type="dxa"/>
            <w:left w:w="0" w:type="dxa"/>
            <w:bottom w:w="0" w:type="dxa"/>
            <w:right w:w="0" w:type="dxa"/>
          </w:tblCellMar>
        </w:tblPrEx>
        <w:trPr>
          <w:trHeight w:val="4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kern w:val="0"/>
                <w:sz w:val="24"/>
              </w:rPr>
            </w:pPr>
            <w:r>
              <w:rPr>
                <w:rFonts w:hAnsi="宋体"/>
                <w:kern w:val="0"/>
                <w:sz w:val="20"/>
                <w:szCs w:val="20"/>
              </w:rPr>
              <w:t>行政事业性收费</w:t>
            </w:r>
          </w:p>
        </w:tc>
        <w:tc>
          <w:tcPr>
            <w:tcW w:w="5027"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bl>
    <w:p>
      <w:pPr>
        <w:jc w:val="center"/>
        <w:rPr>
          <w:rFonts w:hint="eastAsia"/>
        </w:rPr>
      </w:pPr>
    </w:p>
    <w:p>
      <w:pPr>
        <w:jc w:val="left"/>
        <w:rPr>
          <w:rFonts w:hint="eastAsia" w:ascii="黑体" w:hAnsi="黑体" w:eastAsia="黑体" w:cs="黑体"/>
          <w:sz w:val="30"/>
          <w:szCs w:val="30"/>
        </w:rPr>
      </w:pPr>
      <w:r>
        <w:rPr>
          <w:rFonts w:hint="eastAsia" w:ascii="黑体" w:hAnsi="黑体" w:eastAsia="黑体" w:cs="黑体"/>
          <w:sz w:val="30"/>
          <w:szCs w:val="30"/>
        </w:rPr>
        <w:t>三、收到和处理政府信息公开申请情况</w:t>
      </w:r>
    </w:p>
    <w:p>
      <w:pPr>
        <w:jc w:val="center"/>
        <w:rPr>
          <w:rFonts w:hint="eastAsia"/>
        </w:rPr>
      </w:pPr>
    </w:p>
    <w:tbl>
      <w:tblPr>
        <w:tblStyle w:val="3"/>
        <w:tblW w:w="9071" w:type="dxa"/>
        <w:jc w:val="center"/>
        <w:tblLayout w:type="fixed"/>
        <w:tblCellMar>
          <w:top w:w="0" w:type="dxa"/>
          <w:left w:w="0" w:type="dxa"/>
          <w:bottom w:w="0" w:type="dxa"/>
          <w:right w:w="0" w:type="dxa"/>
        </w:tblCellMar>
      </w:tblPr>
      <w:tblGrid>
        <w:gridCol w:w="494"/>
        <w:gridCol w:w="708"/>
        <w:gridCol w:w="2277"/>
        <w:gridCol w:w="825"/>
        <w:gridCol w:w="765"/>
        <w:gridCol w:w="765"/>
        <w:gridCol w:w="825"/>
        <w:gridCol w:w="903"/>
        <w:gridCol w:w="807"/>
        <w:gridCol w:w="702"/>
      </w:tblGrid>
      <w:tr>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申请人情况</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4"/>
              </w:rPr>
            </w:pPr>
          </w:p>
        </w:tc>
        <w:tc>
          <w:tcPr>
            <w:tcW w:w="825" w:type="dxa"/>
            <w:vMerge w:val="restar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r>
      <w:tr>
        <w:tblPrEx>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kern w:val="0"/>
                <w:sz w:val="24"/>
              </w:rPr>
            </w:pPr>
          </w:p>
        </w:tc>
        <w:tc>
          <w:tcPr>
            <w:tcW w:w="825"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社会公益组织</w:t>
            </w:r>
          </w:p>
        </w:tc>
        <w:tc>
          <w:tcPr>
            <w:tcW w:w="90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法律服务机构</w:t>
            </w:r>
          </w:p>
        </w:tc>
        <w:tc>
          <w:tcPr>
            <w:tcW w:w="8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w:t>
            </w:r>
          </w:p>
        </w:tc>
        <w:tc>
          <w:tcPr>
            <w:tcW w:w="702" w:type="dxa"/>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kern w:val="0"/>
                <w:sz w:val="24"/>
              </w:rPr>
            </w:pPr>
            <w:r>
              <w:rPr>
                <w:rFonts w:hAnsi="宋体"/>
                <w:kern w:val="0"/>
                <w:sz w:val="20"/>
                <w:szCs w:val="20"/>
              </w:rPr>
              <w:t>一、本年新收政府信息公开申请数量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val="en-US" w:eastAsia="zh-CN"/>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kern w:val="0"/>
                <w:sz w:val="24"/>
              </w:rPr>
            </w:pPr>
            <w:r>
              <w:rPr>
                <w:rFonts w:hAnsi="宋体"/>
                <w:kern w:val="0"/>
                <w:sz w:val="20"/>
                <w:szCs w:val="20"/>
              </w:rPr>
              <w:t>二、上年结转政府信息公开申请数量</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jc w:val="center"/>
              <w:rPr>
                <w:kern w:val="0"/>
                <w:sz w:val="24"/>
              </w:rPr>
            </w:pPr>
            <w:r>
              <w:rPr>
                <w:rFonts w:hAnsi="宋体"/>
                <w:kern w:val="0"/>
                <w:sz w:val="20"/>
                <w:szCs w:val="20"/>
              </w:rPr>
              <w:t>三、本年度办理结果</w:t>
            </w:r>
          </w:p>
        </w:tc>
        <w:tc>
          <w:tcPr>
            <w:tcW w:w="2985" w:type="dxa"/>
            <w:gridSpan w:val="2"/>
            <w:tcBorders>
              <w:top w:val="nil"/>
              <w:left w:val="nil"/>
              <w:bottom w:val="single" w:color="auto" w:sz="8" w:space="0"/>
              <w:right w:val="single" w:color="auto" w:sz="8" w:space="0"/>
            </w:tcBorders>
            <w:vAlign w:val="center"/>
          </w:tcPr>
          <w:p>
            <w:pPr>
              <w:widowControl/>
              <w:jc w:val="left"/>
              <w:rPr>
                <w:kern w:val="0"/>
                <w:sz w:val="24"/>
              </w:rPr>
            </w:pPr>
            <w:r>
              <w:rPr>
                <w:rFonts w:hAnsi="楷体" w:eastAsia="楷体"/>
                <w:kern w:val="0"/>
                <w:sz w:val="20"/>
                <w:szCs w:val="20"/>
              </w:rPr>
              <w:t>（一）予以公开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kern w:val="0"/>
                <w:sz w:val="24"/>
              </w:rPr>
            </w:pPr>
            <w:r>
              <w:rPr>
                <w:rFonts w:hAnsi="楷体" w:eastAsia="楷体"/>
                <w:kern w:val="0"/>
                <w:sz w:val="20"/>
                <w:szCs w:val="20"/>
              </w:rPr>
              <w:t>（二）部分公开（区分处理的，只计这一情形，不计其他情形）</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hAnsi="楷体" w:eastAsia="楷体"/>
                <w:kern w:val="0"/>
                <w:sz w:val="20"/>
                <w:szCs w:val="20"/>
              </w:rPr>
              <w:t>（三）不予公开</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1.</w:t>
            </w:r>
            <w:r>
              <w:rPr>
                <w:rFonts w:hAnsi="楷体" w:eastAsia="楷体"/>
                <w:kern w:val="0"/>
                <w:sz w:val="20"/>
                <w:szCs w:val="20"/>
              </w:rPr>
              <w:t>属于国家秘密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2.</w:t>
            </w:r>
            <w:r>
              <w:rPr>
                <w:rFonts w:hAnsi="楷体" w:eastAsia="楷体"/>
                <w:kern w:val="0"/>
                <w:sz w:val="20"/>
                <w:szCs w:val="20"/>
              </w:rPr>
              <w:t>其他法律行政法规禁止公开</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3.</w:t>
            </w:r>
            <w:r>
              <w:rPr>
                <w:rFonts w:hAnsi="楷体" w:eastAsia="楷体"/>
                <w:kern w:val="0"/>
                <w:sz w:val="20"/>
                <w:szCs w:val="20"/>
              </w:rPr>
              <w:t>危及</w:t>
            </w:r>
            <w:r>
              <w:rPr>
                <w:rFonts w:eastAsia="楷体"/>
                <w:kern w:val="0"/>
                <w:sz w:val="20"/>
                <w:szCs w:val="20"/>
              </w:rPr>
              <w:t>“</w:t>
            </w:r>
            <w:r>
              <w:rPr>
                <w:rFonts w:hAnsi="楷体" w:eastAsia="楷体"/>
                <w:kern w:val="0"/>
                <w:sz w:val="20"/>
                <w:szCs w:val="20"/>
              </w:rPr>
              <w:t>三安全一稳定</w:t>
            </w:r>
            <w:r>
              <w:rPr>
                <w:rFonts w:eastAsia="楷体"/>
                <w:kern w:val="0"/>
                <w:sz w:val="20"/>
                <w:szCs w:val="20"/>
              </w:rPr>
              <w:t>”</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4.</w:t>
            </w:r>
            <w:r>
              <w:rPr>
                <w:rFonts w:hAnsi="楷体" w:eastAsia="楷体"/>
                <w:kern w:val="0"/>
                <w:sz w:val="20"/>
                <w:szCs w:val="20"/>
              </w:rPr>
              <w:t>保护第三方合法权益</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5.</w:t>
            </w:r>
            <w:r>
              <w:rPr>
                <w:rFonts w:hAnsi="楷体" w:eastAsia="楷体"/>
                <w:kern w:val="0"/>
                <w:sz w:val="20"/>
                <w:szCs w:val="20"/>
              </w:rPr>
              <w:t>属于三类内部事务信息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trHeight w:val="519" w:hRule="atLeast"/>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6.</w:t>
            </w:r>
            <w:r>
              <w:rPr>
                <w:rFonts w:hAnsi="楷体" w:eastAsia="楷体"/>
                <w:kern w:val="0"/>
                <w:sz w:val="20"/>
                <w:szCs w:val="20"/>
              </w:rPr>
              <w:t>属于四类过程性信息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7.</w:t>
            </w:r>
            <w:r>
              <w:rPr>
                <w:rFonts w:hAnsi="楷体" w:eastAsia="楷体"/>
                <w:kern w:val="0"/>
                <w:sz w:val="20"/>
                <w:szCs w:val="20"/>
              </w:rPr>
              <w:t>属于行政执法案卷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8.</w:t>
            </w:r>
            <w:r>
              <w:rPr>
                <w:rFonts w:hAnsi="楷体" w:eastAsia="楷体"/>
                <w:kern w:val="0"/>
                <w:sz w:val="20"/>
                <w:szCs w:val="20"/>
              </w:rPr>
              <w:t>属于行政查询事项</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hAnsi="楷体" w:eastAsia="楷体"/>
                <w:kern w:val="0"/>
                <w:sz w:val="20"/>
                <w:szCs w:val="20"/>
              </w:rPr>
              <w:t>（四）无法提供</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1.</w:t>
            </w:r>
            <w:r>
              <w:rPr>
                <w:rFonts w:hAnsi="楷体" w:eastAsia="楷体"/>
                <w:kern w:val="0"/>
                <w:sz w:val="20"/>
                <w:szCs w:val="20"/>
              </w:rPr>
              <w:t>本机关不掌握相关政府信息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2.</w:t>
            </w:r>
            <w:r>
              <w:rPr>
                <w:rFonts w:hAnsi="楷体" w:eastAsia="楷体"/>
                <w:kern w:val="0"/>
                <w:sz w:val="20"/>
                <w:szCs w:val="20"/>
              </w:rPr>
              <w:t>没有现成信息需要另行制作</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3.</w:t>
            </w:r>
            <w:r>
              <w:rPr>
                <w:rFonts w:hAnsi="楷体" w:eastAsia="楷体"/>
                <w:kern w:val="0"/>
                <w:sz w:val="20"/>
                <w:szCs w:val="20"/>
              </w:rPr>
              <w:t>补正后申请内容仍不明确</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hAnsi="楷体" w:eastAsia="楷体"/>
                <w:kern w:val="0"/>
                <w:sz w:val="20"/>
                <w:szCs w:val="20"/>
              </w:rPr>
              <w:t>（五）不予处理</w:t>
            </w: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1.</w:t>
            </w:r>
            <w:r>
              <w:rPr>
                <w:rFonts w:hAnsi="楷体" w:eastAsia="楷体"/>
                <w:kern w:val="0"/>
                <w:sz w:val="20"/>
                <w:szCs w:val="20"/>
              </w:rPr>
              <w:t>信访举报投诉类申请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2.</w:t>
            </w:r>
            <w:r>
              <w:rPr>
                <w:rFonts w:hAnsi="楷体" w:eastAsia="楷体"/>
                <w:kern w:val="0"/>
                <w:sz w:val="20"/>
                <w:szCs w:val="20"/>
              </w:rPr>
              <w:t>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3.</w:t>
            </w:r>
            <w:r>
              <w:rPr>
                <w:rFonts w:hAnsi="楷体" w:eastAsia="楷体"/>
                <w:kern w:val="0"/>
                <w:sz w:val="20"/>
                <w:szCs w:val="20"/>
              </w:rPr>
              <w:t>要求提供公开出版物</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4.</w:t>
            </w:r>
            <w:r>
              <w:rPr>
                <w:rFonts w:hAnsi="楷体" w:eastAsia="楷体"/>
                <w:kern w:val="0"/>
                <w:sz w:val="20"/>
                <w:szCs w:val="20"/>
              </w:rPr>
              <w:t>无正当理由大量反复申请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top w:val="nil"/>
              <w:left w:val="nil"/>
              <w:bottom w:val="single" w:color="auto" w:sz="8" w:space="0"/>
              <w:right w:val="single" w:color="auto" w:sz="8" w:space="0"/>
            </w:tcBorders>
            <w:vAlign w:val="center"/>
          </w:tcPr>
          <w:p>
            <w:pPr>
              <w:widowControl/>
              <w:jc w:val="left"/>
              <w:rPr>
                <w:kern w:val="0"/>
                <w:sz w:val="24"/>
              </w:rPr>
            </w:pPr>
          </w:p>
        </w:tc>
        <w:tc>
          <w:tcPr>
            <w:tcW w:w="22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kern w:val="0"/>
                <w:sz w:val="24"/>
              </w:rPr>
            </w:pPr>
            <w:r>
              <w:rPr>
                <w:rFonts w:eastAsia="楷体"/>
                <w:kern w:val="0"/>
                <w:sz w:val="20"/>
                <w:szCs w:val="20"/>
              </w:rPr>
              <w:t>5.</w:t>
            </w:r>
            <w:r>
              <w:rPr>
                <w:rFonts w:hAnsi="楷体" w:eastAsia="楷体"/>
                <w:kern w:val="0"/>
                <w:sz w:val="20"/>
                <w:szCs w:val="20"/>
              </w:rPr>
              <w:t>要求行政机关确认或重新出具已获取信息</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restart"/>
            <w:tcBorders>
              <w:top w:val="nil"/>
              <w:left w:val="nil"/>
              <w:right w:val="single" w:color="auto" w:sz="8" w:space="0"/>
            </w:tcBorders>
            <w:vAlign w:val="center"/>
          </w:tcPr>
          <w:p>
            <w:pPr>
              <w:widowControl/>
              <w:jc w:val="left"/>
              <w:rPr>
                <w:kern w:val="0"/>
                <w:sz w:val="24"/>
              </w:rPr>
            </w:pPr>
            <w:r>
              <w:rPr>
                <w:rFonts w:hAnsi="楷体" w:eastAsia="楷体"/>
                <w:kern w:val="0"/>
                <w:sz w:val="20"/>
                <w:szCs w:val="20"/>
              </w:rPr>
              <w:t>（六）其他处理</w:t>
            </w:r>
          </w:p>
        </w:tc>
        <w:tc>
          <w:tcPr>
            <w:tcW w:w="2277" w:type="dxa"/>
            <w:tcBorders>
              <w:top w:val="nil"/>
              <w:left w:val="nil"/>
              <w:bottom w:val="single" w:color="auto" w:sz="8" w:space="0"/>
              <w:right w:val="single" w:color="auto" w:sz="8" w:space="0"/>
            </w:tcBorders>
            <w:vAlign w:val="center"/>
          </w:tcPr>
          <w:p>
            <w:pPr>
              <w:widowControl/>
              <w:jc w:val="left"/>
              <w:rPr>
                <w:rFonts w:hAnsi="楷体" w:eastAsia="楷体"/>
                <w:kern w:val="0"/>
                <w:sz w:val="20"/>
                <w:szCs w:val="20"/>
              </w:rPr>
            </w:pPr>
            <w:r>
              <w:rPr>
                <w:rFonts w:hint="eastAsia" w:hAnsi="楷体" w:eastAsia="楷体"/>
                <w:kern w:val="0"/>
                <w:sz w:val="20"/>
                <w:szCs w:val="20"/>
              </w:rPr>
              <w:t>1.申请人无正当理由逾期不补正、行政机关不再处理其政府信息公开申请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left w:val="nil"/>
              <w:right w:val="single" w:color="auto" w:sz="8" w:space="0"/>
            </w:tcBorders>
            <w:vAlign w:val="center"/>
          </w:tcPr>
          <w:p>
            <w:pPr>
              <w:widowControl/>
              <w:jc w:val="left"/>
              <w:rPr>
                <w:rFonts w:hAnsi="楷体" w:eastAsia="楷体"/>
                <w:kern w:val="0"/>
                <w:sz w:val="20"/>
                <w:szCs w:val="20"/>
              </w:rPr>
            </w:pPr>
          </w:p>
        </w:tc>
        <w:tc>
          <w:tcPr>
            <w:tcW w:w="2277" w:type="dxa"/>
            <w:tcBorders>
              <w:top w:val="nil"/>
              <w:left w:val="nil"/>
              <w:bottom w:val="single" w:color="auto" w:sz="8" w:space="0"/>
              <w:right w:val="single" w:color="auto" w:sz="8" w:space="0"/>
            </w:tcBorders>
            <w:vAlign w:val="center"/>
          </w:tcPr>
          <w:p>
            <w:pPr>
              <w:widowControl/>
              <w:jc w:val="left"/>
              <w:rPr>
                <w:rFonts w:hAnsi="楷体" w:eastAsia="楷体"/>
                <w:kern w:val="0"/>
                <w:sz w:val="20"/>
                <w:szCs w:val="20"/>
              </w:rPr>
            </w:pPr>
            <w:r>
              <w:rPr>
                <w:rFonts w:hint="eastAsia" w:hAnsi="楷体" w:eastAsia="楷体"/>
                <w:kern w:val="0"/>
                <w:sz w:val="20"/>
                <w:szCs w:val="20"/>
              </w:rPr>
              <w:t>2.申请人逾期未按收费通知要求缴纳费用、行政机关不再处理其政府信息公开申请</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708" w:type="dxa"/>
            <w:vMerge w:val="continue"/>
            <w:tcBorders>
              <w:left w:val="nil"/>
              <w:bottom w:val="single" w:color="auto" w:sz="8" w:space="0"/>
              <w:right w:val="single" w:color="auto" w:sz="8" w:space="0"/>
            </w:tcBorders>
            <w:vAlign w:val="center"/>
          </w:tcPr>
          <w:p>
            <w:pPr>
              <w:widowControl/>
              <w:jc w:val="left"/>
              <w:rPr>
                <w:rFonts w:hAnsi="楷体" w:eastAsia="楷体"/>
                <w:kern w:val="0"/>
                <w:sz w:val="20"/>
                <w:szCs w:val="20"/>
              </w:rPr>
            </w:pPr>
          </w:p>
        </w:tc>
        <w:tc>
          <w:tcPr>
            <w:tcW w:w="2277" w:type="dxa"/>
            <w:tcBorders>
              <w:top w:val="nil"/>
              <w:left w:val="nil"/>
              <w:bottom w:val="single" w:color="auto" w:sz="8" w:space="0"/>
              <w:right w:val="single" w:color="auto" w:sz="8" w:space="0"/>
            </w:tcBorders>
            <w:vAlign w:val="center"/>
          </w:tcPr>
          <w:p>
            <w:pPr>
              <w:widowControl/>
              <w:jc w:val="left"/>
              <w:rPr>
                <w:rFonts w:hAnsi="楷体" w:eastAsia="楷体"/>
                <w:kern w:val="0"/>
                <w:sz w:val="20"/>
                <w:szCs w:val="20"/>
              </w:rPr>
            </w:pPr>
            <w:r>
              <w:rPr>
                <w:rFonts w:hint="eastAsia" w:hAnsi="楷体" w:eastAsia="楷体"/>
                <w:kern w:val="0"/>
                <w:sz w:val="20"/>
                <w:szCs w:val="20"/>
              </w:rPr>
              <w:t>3.其他</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2985" w:type="dxa"/>
            <w:gridSpan w:val="2"/>
            <w:tcBorders>
              <w:top w:val="nil"/>
              <w:left w:val="nil"/>
              <w:bottom w:val="single" w:color="auto" w:sz="8" w:space="0"/>
              <w:right w:val="single" w:color="auto" w:sz="8" w:space="0"/>
            </w:tcBorders>
            <w:vAlign w:val="center"/>
          </w:tcPr>
          <w:p>
            <w:pPr>
              <w:widowControl/>
              <w:jc w:val="left"/>
              <w:rPr>
                <w:kern w:val="0"/>
                <w:sz w:val="24"/>
              </w:rPr>
            </w:pPr>
            <w:r>
              <w:rPr>
                <w:rFonts w:hAnsi="楷体" w:eastAsia="楷体"/>
                <w:kern w:val="0"/>
                <w:sz w:val="20"/>
                <w:szCs w:val="20"/>
              </w:rPr>
              <w:t>（七）总计</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r>
        <w:tblPrEx>
          <w:tblCellMar>
            <w:top w:w="0" w:type="dxa"/>
            <w:left w:w="0" w:type="dxa"/>
            <w:bottom w:w="0" w:type="dxa"/>
            <w:right w:w="0" w:type="dxa"/>
          </w:tblCellMar>
        </w:tblPrEx>
        <w:trPr>
          <w:trHeight w:val="452" w:hRule="atLeast"/>
          <w:jc w:val="center"/>
        </w:trPr>
        <w:tc>
          <w:tcPr>
            <w:tcW w:w="3479" w:type="dxa"/>
            <w:gridSpan w:val="3"/>
            <w:tcBorders>
              <w:top w:val="nil"/>
              <w:left w:val="single" w:color="auto" w:sz="8" w:space="0"/>
              <w:bottom w:val="single" w:color="auto" w:sz="8" w:space="0"/>
              <w:right w:val="single" w:color="auto" w:sz="8" w:space="0"/>
            </w:tcBorders>
            <w:vAlign w:val="center"/>
          </w:tcPr>
          <w:p>
            <w:pPr>
              <w:widowControl/>
              <w:jc w:val="left"/>
              <w:rPr>
                <w:kern w:val="0"/>
                <w:sz w:val="24"/>
              </w:rPr>
            </w:pPr>
            <w:r>
              <w:rPr>
                <w:rFonts w:hAnsi="宋体"/>
                <w:kern w:val="0"/>
                <w:sz w:val="20"/>
                <w:szCs w:val="20"/>
              </w:rPr>
              <w:t>四、结转下年度继续办理</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0"/>
                <w:szCs w:val="20"/>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8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heme="minorHAnsi" w:hAnsiTheme="minorHAnsi" w:eastAsiaTheme="minorEastAsia" w:cstheme="minorBidi"/>
                <w:kern w:val="0"/>
                <w:sz w:val="24"/>
                <w:szCs w:val="24"/>
                <w:lang w:val="en-US" w:eastAsia="zh-CN" w:bidi="ar-SA"/>
              </w:rPr>
            </w:pPr>
            <w:r>
              <w:rPr>
                <w:rFonts w:hint="eastAsia"/>
                <w:kern w:val="0"/>
                <w:sz w:val="20"/>
                <w:szCs w:val="20"/>
                <w:lang w:val="en-US" w:eastAsia="zh-CN"/>
              </w:rPr>
              <w:t>0</w:t>
            </w:r>
          </w:p>
        </w:tc>
      </w:tr>
    </w:tbl>
    <w:p>
      <w:pPr>
        <w:jc w:val="center"/>
        <w:rPr>
          <w:rFonts w:hint="eastAsia"/>
        </w:rPr>
      </w:pPr>
    </w:p>
    <w:p>
      <w:pPr>
        <w:jc w:val="left"/>
        <w:rPr>
          <w:rFonts w:hint="eastAsia" w:ascii="黑体" w:hAnsi="黑体" w:eastAsia="黑体" w:cs="黑体"/>
          <w:sz w:val="30"/>
          <w:szCs w:val="30"/>
        </w:rPr>
      </w:pPr>
      <w:r>
        <w:rPr>
          <w:rFonts w:hint="eastAsia" w:ascii="黑体" w:hAnsi="黑体" w:eastAsia="黑体" w:cs="黑体"/>
          <w:sz w:val="30"/>
          <w:szCs w:val="30"/>
        </w:rPr>
        <w:t>四、政府信息公开行政复议、行政诉讼情况</w:t>
      </w:r>
    </w:p>
    <w:p>
      <w:pPr>
        <w:jc w:val="center"/>
        <w:rPr>
          <w:rFonts w:hint="eastAsia"/>
        </w:rPr>
      </w:pPr>
    </w:p>
    <w:tbl>
      <w:tblPr>
        <w:tblStyle w:val="3"/>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kern w:val="0"/>
                <w:sz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4"/>
              </w:rPr>
            </w:pPr>
            <w:r>
              <w:rPr>
                <w:rFonts w:hAnsi="宋体"/>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4"/>
                <w:lang w:val="en-US" w:eastAsia="zh-CN"/>
              </w:rPr>
            </w:pPr>
            <w:r>
              <w:rPr>
                <w:rFonts w:hint="eastAsia"/>
                <w:kern w:val="0"/>
                <w:sz w:val="24"/>
                <w:lang w:val="en-US" w:eastAsia="zh-CN"/>
              </w:rPr>
              <w:t>0</w:t>
            </w:r>
          </w:p>
        </w:tc>
      </w:tr>
    </w:tbl>
    <w:p>
      <w:pPr>
        <w:jc w:val="both"/>
        <w:rPr>
          <w:rFonts w:hint="eastAsia"/>
        </w:rPr>
      </w:pPr>
    </w:p>
    <w:p>
      <w:pPr>
        <w:jc w:val="left"/>
        <w:rPr>
          <w:rFonts w:hint="eastAsia" w:ascii="黑体" w:hAnsi="黑体" w:eastAsia="黑体" w:cs="黑体"/>
          <w:sz w:val="30"/>
          <w:szCs w:val="30"/>
        </w:rPr>
      </w:pPr>
      <w:r>
        <w:rPr>
          <w:rFonts w:hint="eastAsia" w:ascii="黑体" w:hAnsi="黑体" w:eastAsia="黑体" w:cs="黑体"/>
          <w:sz w:val="30"/>
          <w:szCs w:val="30"/>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both"/>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2022年，我局严格贯彻落实《中华人民共和国政府信息公开条例》，按照区委、区政府的工作部署认真开展政府信息公开工作，政府信息公开工作取得了较好成绩，但也存在以下问题：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both"/>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（一）股室、中心协调工作有待进一步加强，</w:t>
      </w:r>
      <w:r>
        <w:rPr>
          <w:rFonts w:hint="eastAsia" w:ascii="仿宋_GB2312" w:hAnsi="仿宋_GB2312" w:eastAsia="仿宋_GB2312" w:cs="仿宋_GB2312"/>
          <w:kern w:val="2"/>
          <w:sz w:val="30"/>
          <w:szCs w:val="30"/>
          <w:lang w:val="en-US" w:eastAsia="zh-CN" w:bidi="ar-SA"/>
        </w:rPr>
        <w:t>部分栏目内容信息发布不及时，存在滞后现象。今后我局将</w:t>
      </w:r>
      <w:r>
        <w:rPr>
          <w:rFonts w:hint="eastAsia" w:ascii="仿宋_GB2312" w:hAnsi="仿宋_GB2312" w:eastAsia="仿宋_GB2312" w:cs="仿宋_GB2312"/>
          <w:kern w:val="2"/>
          <w:sz w:val="30"/>
          <w:szCs w:val="30"/>
          <w:lang w:val="en-US" w:eastAsia="zh-CN" w:bidi="ar-SA"/>
        </w:rPr>
        <w:t>及时发布信息，专人负责投促局政务信息发布工作，业务股室、中心积极配合，及时将各自工作中需要公开发布的内容较积极主动地发给可以公开发布的信息报送至专人，第一时间上传到南谯政务信息公开网，面向社会公布，提高信息时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 w:firstLineChars="200"/>
        <w:jc w:val="both"/>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（二）</w:t>
      </w:r>
      <w:r>
        <w:rPr>
          <w:rFonts w:hint="eastAsia" w:ascii="仿宋_GB2312" w:hAnsi="仿宋_GB2312" w:eastAsia="仿宋_GB2312" w:cs="仿宋_GB2312"/>
          <w:kern w:val="2"/>
          <w:sz w:val="30"/>
          <w:szCs w:val="30"/>
          <w:lang w:val="en-US" w:eastAsia="zh-CN" w:bidi="ar-SA"/>
        </w:rPr>
        <w:t>政策解读方式和形式单一，解读效果不够丰富和生动灵活。对此，我局将</w:t>
      </w:r>
      <w:r>
        <w:rPr>
          <w:rFonts w:hint="eastAsia" w:ascii="仿宋_GB2312" w:hAnsi="仿宋_GB2312" w:eastAsia="仿宋_GB2312" w:cs="仿宋_GB2312"/>
          <w:kern w:val="2"/>
          <w:sz w:val="30"/>
          <w:szCs w:val="30"/>
          <w:lang w:val="en-US" w:eastAsia="zh-CN" w:bidi="ar-SA"/>
        </w:rPr>
        <w:t>不断提升政策解读效果，做到政策文件与解读材料同步组织、同步审签、同步部署、同步发布。拓宽解读渠道，丰富解读方式，充分利用简明问答、图表图解、卡通动漫等多元化形式和生动灵活的语言解读本机政策，方便公众理解。</w:t>
      </w:r>
    </w:p>
    <w:p>
      <w:pPr>
        <w:jc w:val="both"/>
        <w:rPr>
          <w:rFonts w:hint="eastAsia"/>
        </w:rPr>
      </w:pPr>
    </w:p>
    <w:p>
      <w:pPr>
        <w:jc w:val="left"/>
        <w:rPr>
          <w:rFonts w:hint="eastAsia" w:ascii="仿宋_GB2312" w:hAnsi="仿宋_GB2312" w:eastAsia="仿宋_GB2312" w:cs="仿宋_GB2312"/>
          <w:sz w:val="30"/>
          <w:szCs w:val="30"/>
        </w:rPr>
      </w:pPr>
      <w:r>
        <w:rPr>
          <w:rFonts w:hint="eastAsia" w:ascii="黑体" w:hAnsi="黑体" w:eastAsia="黑体" w:cs="黑体"/>
          <w:sz w:val="30"/>
          <w:szCs w:val="30"/>
        </w:rPr>
        <w:t>六、其他需要报告的事项</w:t>
      </w:r>
    </w:p>
    <w:p>
      <w:pPr>
        <w:ind w:firstLine="600" w:firstLineChars="200"/>
        <w:jc w:val="both"/>
        <w:rPr>
          <w:rFonts w:hint="eastAsia"/>
        </w:rPr>
      </w:pPr>
      <w:r>
        <w:rPr>
          <w:rFonts w:hint="eastAsia" w:ascii="仿宋_GB2312" w:hAnsi="仿宋_GB2312" w:eastAsia="仿宋_GB2312" w:cs="仿宋_GB2312"/>
          <w:sz w:val="30"/>
          <w:szCs w:val="30"/>
          <w:lang w:val="en-US" w:eastAsia="zh-CN"/>
        </w:rPr>
        <w:t>按照《国务院办公厅关于印发&lt;政府信息公开信息处理费管理办法&gt;的通知》（国办函〔2020〕109号）规定的按件、按量收费标准，本年度我局没有产生信息公开处理费”</w:t>
      </w:r>
      <w:r>
        <w:rPr>
          <w:rFonts w:hint="eastAsia" w:ascii="仿宋_GB2312" w:hAnsi="仿宋_GB2312" w:eastAsia="仿宋_GB2312" w:cs="仿宋_GB2312"/>
          <w:sz w:val="30"/>
          <w:szCs w:val="30"/>
        </w:rPr>
        <w:t>。</w:t>
      </w:r>
    </w:p>
    <w:p>
      <w:pPr>
        <w:jc w:val="both"/>
        <w:rPr>
          <w:rFonts w:hint="eastAsia"/>
        </w:rPr>
      </w:pPr>
    </w:p>
    <w:sectPr>
      <w:pgSz w:w="11906" w:h="16838"/>
      <w:pgMar w:top="181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AEA9A6"/>
    <w:multiLevelType w:val="singleLevel"/>
    <w:tmpl w:val="F2AEA9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YWRmNzc0ODc3MDNmMTM2NTlmN2Y5NDBkMDVhZjkifQ=="/>
  </w:docVars>
  <w:rsids>
    <w:rsidRoot w:val="00000000"/>
    <w:rsid w:val="018E62F1"/>
    <w:rsid w:val="0B3B1457"/>
    <w:rsid w:val="0B6C2785"/>
    <w:rsid w:val="0E187824"/>
    <w:rsid w:val="14F97E15"/>
    <w:rsid w:val="152658C0"/>
    <w:rsid w:val="15E45EA7"/>
    <w:rsid w:val="2B3D1D31"/>
    <w:rsid w:val="3029128E"/>
    <w:rsid w:val="3F796FCF"/>
    <w:rsid w:val="4235657F"/>
    <w:rsid w:val="497940D4"/>
    <w:rsid w:val="4A2644D8"/>
    <w:rsid w:val="58605528"/>
    <w:rsid w:val="61964309"/>
    <w:rsid w:val="633D060E"/>
    <w:rsid w:val="6B992C20"/>
    <w:rsid w:val="6FCF065F"/>
    <w:rsid w:val="70726075"/>
    <w:rsid w:val="73ED58BF"/>
    <w:rsid w:val="78AE5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1255</Words>
  <Characters>1304</Characters>
  <Lines>0</Lines>
  <Paragraphs>0</Paragraphs>
  <TotalTime>1</TotalTime>
  <ScaleCrop>false</ScaleCrop>
  <LinksUpToDate>false</LinksUpToDate>
  <CharactersWithSpaces>1304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2021-10-09T00:52:00Z</dcterms:created>
  <dc:creator>Administrator</dc:creator>
  <cp:lastModifiedBy>Administrator</cp:lastModifiedBy>
  <dcterms:modified xsi:type="dcterms:W3CDTF">2023-01-10T03:10:22Z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396BFFD0C3124389ABFBAC775B869E90</vt:lpwstr>
  </property>
</Properties>
</file>