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spacing w:line="540" w:lineRule="exact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spacing w:line="540" w:lineRule="exact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spacing w:line="540" w:lineRule="exact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spacing w:line="560" w:lineRule="exact"/>
        <w:ind w:firstLine="3171" w:firstLineChars="991"/>
        <w:rPr>
          <w:rFonts w:hint="eastAsia" w:ascii="仿宋_GB2312" w:hAnsi="仿宋_GB2312" w:eastAsia="仿宋_GB2312"/>
          <w:sz w:val="32"/>
          <w:szCs w:val="30"/>
        </w:rPr>
      </w:pPr>
    </w:p>
    <w:p>
      <w:pPr>
        <w:spacing w:line="560" w:lineRule="exact"/>
        <w:ind w:firstLine="3171" w:firstLineChars="991"/>
        <w:rPr>
          <w:rFonts w:hint="eastAsia" w:ascii="仿宋_GB2312" w:hAnsi="仿宋_GB2312" w:eastAsia="仿宋_GB2312"/>
          <w:sz w:val="32"/>
          <w:szCs w:val="30"/>
          <w:lang w:eastAsia="zh-CN"/>
        </w:rPr>
      </w:pPr>
    </w:p>
    <w:p>
      <w:pPr>
        <w:spacing w:line="560" w:lineRule="exact"/>
        <w:ind w:firstLine="3171" w:firstLineChars="991"/>
        <w:rPr>
          <w:rFonts w:hint="eastAsia" w:ascii="仿宋_GB2312" w:hAnsi="仿宋_GB2312" w:eastAsia="仿宋_GB2312"/>
          <w:sz w:val="32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0"/>
          <w:lang w:eastAsia="zh-CN"/>
        </w:rPr>
        <w:t>南</w:t>
      </w:r>
      <w:r>
        <w:rPr>
          <w:rFonts w:hint="eastAsia" w:ascii="仿宋_GB2312" w:hAnsi="仿宋_GB2312" w:eastAsia="仿宋_GB2312"/>
          <w:sz w:val="32"/>
          <w:szCs w:val="30"/>
        </w:rPr>
        <w:t>财预〔20</w:t>
      </w:r>
      <w:r>
        <w:rPr>
          <w:rFonts w:hint="eastAsia" w:ascii="仿宋_GB2312" w:hAnsi="仿宋_GB2312" w:eastAsia="仿宋_GB2312"/>
          <w:sz w:val="32"/>
          <w:szCs w:val="30"/>
          <w:lang w:val="en-US" w:eastAsia="zh-CN"/>
        </w:rPr>
        <w:t>23</w:t>
      </w:r>
      <w:r>
        <w:rPr>
          <w:rFonts w:hint="eastAsia" w:ascii="仿宋_GB2312" w:hAnsi="仿宋_GB2312" w:eastAsia="仿宋_GB2312"/>
          <w:sz w:val="32"/>
          <w:szCs w:val="30"/>
        </w:rPr>
        <w:t>〕</w:t>
      </w:r>
      <w:r>
        <w:rPr>
          <w:rFonts w:hint="eastAsia" w:ascii="仿宋_GB2312" w:hAnsi="仿宋_GB2312" w:eastAsia="仿宋_GB2312"/>
          <w:sz w:val="32"/>
          <w:szCs w:val="30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  <w:szCs w:val="30"/>
        </w:rPr>
        <w:t>号</w:t>
      </w:r>
    </w:p>
    <w:p>
      <w:pPr>
        <w:spacing w:line="540" w:lineRule="exact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spacing w:line="540" w:lineRule="exact"/>
        <w:jc w:val="center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南谯区</w:t>
      </w:r>
      <w:r>
        <w:rPr>
          <w:rFonts w:hint="eastAsia" w:ascii="宋体" w:hAnsi="宋体"/>
          <w:b/>
          <w:sz w:val="44"/>
          <w:szCs w:val="44"/>
        </w:rPr>
        <w:t>财政局关于做好</w:t>
      </w:r>
      <w:r>
        <w:rPr>
          <w:rFonts w:ascii="宋体" w:hAnsi="宋体"/>
          <w:b/>
          <w:sz w:val="44"/>
          <w:szCs w:val="44"/>
        </w:rPr>
        <w:t>2022年度</w:t>
      </w:r>
      <w:r>
        <w:rPr>
          <w:rFonts w:hint="eastAsia" w:ascii="宋体" w:hAnsi="宋体"/>
          <w:b/>
          <w:sz w:val="44"/>
          <w:szCs w:val="44"/>
        </w:rPr>
        <w:t>部门</w:t>
      </w:r>
    </w:p>
    <w:p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决算工作有关事项的通知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各镇、街道，滁州高教科创管理服务中心，南谯经济开发区，区直各预算单位：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为了切实做好</w:t>
      </w:r>
      <w:r>
        <w:rPr>
          <w:rFonts w:ascii="仿宋_GB2312" w:eastAsia="仿宋_GB2312"/>
          <w:sz w:val="32"/>
          <w:szCs w:val="32"/>
        </w:rPr>
        <w:t>2022年度</w:t>
      </w:r>
      <w:r>
        <w:rPr>
          <w:rFonts w:hint="eastAsia" w:ascii="仿宋_GB2312" w:eastAsia="仿宋_GB2312"/>
          <w:sz w:val="32"/>
          <w:szCs w:val="32"/>
        </w:rPr>
        <w:t>部门决算报表编审工作，进一步提高部门决算管理水平，根据省</w:t>
      </w:r>
      <w:r>
        <w:rPr>
          <w:rFonts w:hint="eastAsia" w:ascii="仿宋_GB2312" w:eastAsia="仿宋_GB2312"/>
          <w:sz w:val="32"/>
          <w:szCs w:val="32"/>
          <w:lang w:eastAsia="zh-CN"/>
        </w:rPr>
        <w:t>、市</w:t>
      </w:r>
      <w:r>
        <w:rPr>
          <w:rFonts w:hint="eastAsia" w:ascii="仿宋_GB2312" w:eastAsia="仿宋_GB2312"/>
          <w:sz w:val="32"/>
          <w:szCs w:val="32"/>
        </w:rPr>
        <w:t>有关文件精神，并结合我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实际就有关事项通知如下，请遵照执行。</w:t>
      </w:r>
    </w:p>
    <w:p>
      <w:pPr>
        <w:spacing w:line="54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一、部门决算工作总体要求</w:t>
      </w:r>
    </w:p>
    <w:p>
      <w:pPr>
        <w:spacing w:line="540" w:lineRule="exact"/>
        <w:ind w:firstLine="588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pacing w:val="-5"/>
          <w:w w:val="95"/>
          <w:kern w:val="0"/>
          <w:sz w:val="32"/>
          <w:szCs w:val="32"/>
          <w:lang w:val="zh-CN" w:bidi="zh-CN"/>
        </w:rPr>
        <w:t>各部门要认真贯彻</w:t>
      </w:r>
      <w:r>
        <w:rPr>
          <w:rFonts w:hint="eastAsia" w:ascii="仿宋_GB2312" w:hAnsi="仿宋_GB2312" w:eastAsia="仿宋_GB2312" w:cs="仿宋_GB2312"/>
          <w:spacing w:val="-5"/>
          <w:w w:val="95"/>
          <w:kern w:val="0"/>
          <w:sz w:val="32"/>
          <w:szCs w:val="32"/>
          <w:lang w:val="zh-CN" w:bidi="zh-CN"/>
        </w:rPr>
        <w:t>党的二十大精神和</w:t>
      </w:r>
      <w:r>
        <w:rPr>
          <w:rFonts w:ascii="仿宋_GB2312" w:hAnsi="仿宋_GB2312" w:eastAsia="仿宋_GB2312" w:cs="仿宋_GB2312"/>
          <w:spacing w:val="-5"/>
          <w:w w:val="95"/>
          <w:kern w:val="0"/>
          <w:sz w:val="32"/>
          <w:szCs w:val="32"/>
          <w:lang w:val="zh-CN" w:bidi="zh-CN"/>
        </w:rPr>
        <w:t>国务院</w:t>
      </w:r>
      <w:r>
        <w:rPr>
          <w:rFonts w:hint="eastAsia" w:ascii="仿宋_GB2312" w:hAnsi="仿宋_GB2312" w:eastAsia="仿宋_GB2312" w:cs="仿宋_GB2312"/>
          <w:spacing w:val="-5"/>
          <w:w w:val="95"/>
          <w:kern w:val="0"/>
          <w:sz w:val="32"/>
          <w:szCs w:val="32"/>
          <w:lang w:val="zh-CN" w:bidi="zh-CN"/>
        </w:rPr>
        <w:t>、</w:t>
      </w:r>
      <w:r>
        <w:rPr>
          <w:rFonts w:ascii="仿宋_GB2312" w:hAnsi="仿宋_GB2312" w:eastAsia="仿宋_GB2312" w:cs="仿宋_GB2312"/>
          <w:spacing w:val="-5"/>
          <w:w w:val="95"/>
          <w:kern w:val="0"/>
          <w:sz w:val="32"/>
          <w:szCs w:val="32"/>
          <w:lang w:val="zh-CN" w:bidi="zh-CN"/>
        </w:rPr>
        <w:t>省</w:t>
      </w:r>
      <w:r>
        <w:rPr>
          <w:rFonts w:hint="eastAsia" w:ascii="仿宋_GB2312" w:hAnsi="仿宋_GB2312" w:eastAsia="仿宋_GB2312" w:cs="仿宋_GB2312"/>
          <w:spacing w:val="-5"/>
          <w:w w:val="95"/>
          <w:kern w:val="0"/>
          <w:sz w:val="32"/>
          <w:szCs w:val="32"/>
          <w:lang w:val="zh-CN" w:bidi="zh-CN"/>
        </w:rPr>
        <w:t>、市</w:t>
      </w:r>
      <w:r>
        <w:rPr>
          <w:rFonts w:ascii="仿宋_GB2312" w:hAnsi="仿宋_GB2312" w:eastAsia="仿宋_GB2312" w:cs="仿宋_GB2312"/>
          <w:spacing w:val="-5"/>
          <w:w w:val="95"/>
          <w:kern w:val="0"/>
          <w:sz w:val="32"/>
          <w:szCs w:val="32"/>
          <w:lang w:val="zh-CN" w:bidi="zh-CN"/>
        </w:rPr>
        <w:t>决策部署，全面落实预算法及其实施条例等法律法规制度，依法依</w:t>
      </w:r>
      <w:r>
        <w:rPr>
          <w:rFonts w:ascii="仿宋_GB2312" w:eastAsia="仿宋_GB2312"/>
          <w:sz w:val="32"/>
          <w:szCs w:val="32"/>
        </w:rPr>
        <w:t>规将部门和单位取得的各类收入纳入部门或单位预算，健全反映所有预算资金的部门决算报告体系，扎实做好</w:t>
      </w:r>
      <w:r>
        <w:rPr>
          <w:rFonts w:hint="eastAsia" w:ascii="仿宋_GB2312" w:eastAsia="仿宋_GB2312"/>
          <w:sz w:val="32"/>
          <w:szCs w:val="32"/>
        </w:rPr>
        <w:t>2022年度</w:t>
      </w:r>
      <w:r>
        <w:rPr>
          <w:rFonts w:ascii="仿宋_GB2312" w:eastAsia="仿宋_GB2312"/>
          <w:sz w:val="32"/>
          <w:szCs w:val="32"/>
        </w:rPr>
        <w:t>决算编报、审核、批复和公开各项工作</w:t>
      </w:r>
      <w:r>
        <w:rPr>
          <w:rFonts w:hint="eastAsia" w:ascii="仿宋_GB2312" w:eastAsia="仿宋_GB2312"/>
          <w:sz w:val="32"/>
          <w:szCs w:val="32"/>
        </w:rPr>
        <w:t>，强化决算反映和促进功用，推动部门决算工作高质量发展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（一）加强组织领导，健全部门决算工作机制。</w:t>
      </w:r>
      <w:r>
        <w:rPr>
          <w:rFonts w:hint="eastAsia" w:ascii="仿宋_GB2312" w:eastAsia="仿宋_GB2312"/>
          <w:sz w:val="32"/>
          <w:szCs w:val="32"/>
        </w:rPr>
        <w:t>部门决算是年度预算执行结果和财务状况的集中体现，是财政预算管理的重要环节。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直各部门、单位要全面贯彻党的二十大精神，切实加强领导，强化组织协调，创新方式方法，建立健全财务与业务分工合理、协作有力、运转高效的部门决算工作机制，注重与预算、资产、采购、绩效等方面协同配合，确保2022年度部门决算扎实有序开展。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hAnsi="仿宋_GB2312" w:eastAsia="仿宋_GB2312" w:cs="仿宋_GB2312"/>
          <w:sz w:val="32"/>
          <w:szCs w:val="20"/>
        </w:rPr>
      </w:pPr>
      <w:r>
        <w:rPr>
          <w:rFonts w:hint="eastAsia" w:ascii="楷体" w:hAnsi="楷体" w:eastAsia="楷体"/>
          <w:b/>
          <w:sz w:val="32"/>
          <w:szCs w:val="32"/>
        </w:rPr>
        <w:t>（二）做好清理对账，夯实决算数据基础。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直各部门、单位要严格执行财政财务管理各项规定，全面清理核实全年预算收入、支出和往来款项。</w:t>
      </w:r>
      <w:r>
        <w:rPr>
          <w:rFonts w:hint="eastAsia" w:hAnsi="仿宋_GB2312" w:eastAsia="仿宋_GB2312" w:cs="仿宋_GB2312"/>
          <w:sz w:val="32"/>
          <w:szCs w:val="20"/>
        </w:rPr>
        <w:t>做好预算指标、财政拨款、银行存款对账工作，及时发现问题，提前纠正差错；</w:t>
      </w:r>
      <w:r>
        <w:rPr>
          <w:rFonts w:hAnsi="仿宋_GB2312" w:eastAsia="仿宋_GB2312" w:cs="仿宋_GB2312"/>
          <w:sz w:val="32"/>
          <w:szCs w:val="20"/>
        </w:rPr>
        <w:t>在按时办理年终结账的基础上编制决算，</w:t>
      </w:r>
      <w:r>
        <w:rPr>
          <w:rFonts w:hint="eastAsia" w:hAnsi="仿宋_GB2312" w:eastAsia="仿宋_GB2312" w:cs="仿宋_GB2312"/>
          <w:sz w:val="32"/>
          <w:szCs w:val="20"/>
        </w:rPr>
        <w:t>切实做到账证、账账、账实、账表相符，确保决算基础数据真实准确。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hAnsi="仿宋_GB2312" w:eastAsia="仿宋_GB2312" w:cs="仿宋_GB2312"/>
          <w:sz w:val="32"/>
          <w:szCs w:val="20"/>
        </w:rPr>
      </w:pPr>
      <w:r>
        <w:rPr>
          <w:rFonts w:hint="eastAsia" w:ascii="楷体" w:hAnsi="楷体" w:eastAsia="楷体"/>
          <w:b/>
          <w:sz w:val="32"/>
          <w:szCs w:val="32"/>
        </w:rPr>
        <w:t>（三）严格规范程序，提高决算编审水平。</w:t>
      </w:r>
      <w:r>
        <w:rPr>
          <w:rFonts w:hint="eastAsia" w:hAnsi="仿宋_GB2312" w:eastAsia="仿宋_GB2312" w:cs="仿宋_GB2312"/>
          <w:sz w:val="32"/>
          <w:szCs w:val="20"/>
          <w:lang w:eastAsia="zh-CN"/>
        </w:rPr>
        <w:t>各</w:t>
      </w:r>
      <w:r>
        <w:rPr>
          <w:rFonts w:hint="eastAsia" w:hAnsi="仿宋_GB2312" w:eastAsia="仿宋_GB2312" w:cs="仿宋_GB2312"/>
          <w:sz w:val="32"/>
          <w:szCs w:val="20"/>
        </w:rPr>
        <w:t>部门要规范决算编报主体，坚持与部门预算相对应原则，将经费自理事业单位纳入决算编制范围。要突出重点事项，</w:t>
      </w:r>
      <w:r>
        <w:rPr>
          <w:rFonts w:hint="eastAsia" w:hAnsi="仿宋_GB2312" w:eastAsia="仿宋_GB2312" w:cs="仿宋_GB2312"/>
          <w:sz w:val="32"/>
          <w:szCs w:val="20"/>
          <w:highlight w:val="none"/>
        </w:rPr>
        <w:t>落实部门预算将基本支出纳入项目库强化管理要求</w:t>
      </w:r>
      <w:r>
        <w:rPr>
          <w:rFonts w:hint="eastAsia" w:hAnsi="仿宋_GB2312" w:eastAsia="仿宋_GB2312" w:cs="仿宋_GB2312"/>
          <w:sz w:val="32"/>
          <w:szCs w:val="20"/>
        </w:rPr>
        <w:t>，认真编报人员经费类项目和公用经费类项目的资金来源、支出及结转结余情况；落实专用基金纳入预算管理规定，完整反映使用专用结余的规模及支出用途情况；加大对“三公”经费以及会议费、培训费、差旅费等支出合理合规性的审核力度，如实反映政府过紧日子的成效；完善决算反映问题与预算安排挂钩机制。要压实审核责任，完善审核机制，细化审核内容，改进审核方式，实施部门决算专业化、精细化审核。要进一步完善上下级联动、多部门参与的审核机制，聚焦合法合规性，突出往年反复出现、审计关注、人大审查、监督检查发现的问题，强化主管部门审核、财政业务股</w:t>
      </w:r>
      <w:r>
        <w:rPr>
          <w:rFonts w:hint="eastAsia" w:hAnsi="仿宋_GB2312" w:eastAsia="仿宋_GB2312" w:cs="仿宋_GB2312"/>
          <w:sz w:val="32"/>
          <w:szCs w:val="20"/>
          <w:lang w:eastAsia="zh-CN"/>
        </w:rPr>
        <w:t>室</w:t>
      </w:r>
      <w:r>
        <w:rPr>
          <w:rFonts w:hint="eastAsia" w:hAnsi="仿宋_GB2312" w:eastAsia="仿宋_GB2312" w:cs="仿宋_GB2312"/>
          <w:sz w:val="32"/>
          <w:szCs w:val="20"/>
        </w:rPr>
        <w:t>对口审核和决算集中会审，并根据决算反映问题等情况调整以后年度部门预算安排。</w:t>
      </w:r>
    </w:p>
    <w:p>
      <w:pPr>
        <w:ind w:firstLine="643" w:firstLineChars="200"/>
        <w:rPr>
          <w:rFonts w:hAnsi="仿宋_GB2312" w:eastAsia="仿宋_GB2312" w:cs="仿宋_GB2312"/>
          <w:sz w:val="32"/>
          <w:szCs w:val="20"/>
        </w:rPr>
      </w:pPr>
      <w:r>
        <w:rPr>
          <w:rFonts w:hint="eastAsia" w:ascii="楷体" w:hAnsi="楷体" w:eastAsia="楷体"/>
          <w:b/>
          <w:sz w:val="32"/>
          <w:szCs w:val="32"/>
        </w:rPr>
        <w:t>（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四</w:t>
      </w:r>
      <w:r>
        <w:rPr>
          <w:rFonts w:hint="eastAsia" w:ascii="楷体" w:hAnsi="楷体" w:eastAsia="楷体"/>
          <w:b/>
          <w:sz w:val="32"/>
          <w:szCs w:val="32"/>
        </w:rPr>
        <w:t>）深化决算公开，提升决算信息公开质量。</w:t>
      </w:r>
      <w:r>
        <w:rPr>
          <w:rFonts w:hint="eastAsia" w:hAnsi="仿宋_GB2312" w:eastAsia="仿宋_GB2312" w:cs="仿宋_GB2312"/>
          <w:sz w:val="32"/>
          <w:szCs w:val="20"/>
          <w:lang w:eastAsia="zh-CN"/>
        </w:rPr>
        <w:t>区</w:t>
      </w:r>
      <w:r>
        <w:rPr>
          <w:rFonts w:hint="eastAsia" w:hAnsi="仿宋_GB2312" w:eastAsia="仿宋_GB2312" w:cs="仿宋_GB2312"/>
          <w:sz w:val="32"/>
          <w:szCs w:val="20"/>
        </w:rPr>
        <w:t>直各部门、单位要按照《预算法》和预算法实施条例等法律法规要求，深入推进部门决算公开工作；要贯彻落实《财政预决算领域基层政务公开标准目录》要求，进一步完善公开机制、扩大公开范围、细化公开内容、改进公开方式、提升公开质量。要积极推进按支出经济分类公开一般公共预算财政拨款项目支出，落实“全覆盖”要求督导部门所属单位公开决算；对“三公”经费增减变化原因等予以重点说明；综合运用传统媒体、政务新媒体等平台，着力做好政策解读和舆论引导工作，切实提升公开的及时性、完整性、规范性和可获得性。各部门要贯彻落实预算法实施条例等有关规定，切实履行决算公开主体责任，在继续做好部门决算公开的同时，督导</w:t>
      </w:r>
      <w:r>
        <w:rPr>
          <w:rFonts w:hint="eastAsia" w:hAnsi="仿宋_GB2312" w:eastAsia="仿宋_GB2312" w:cs="仿宋_GB2312"/>
          <w:sz w:val="32"/>
          <w:szCs w:val="20"/>
          <w:highlight w:val="none"/>
        </w:rPr>
        <w:t>所属单位</w:t>
      </w:r>
      <w:r>
        <w:rPr>
          <w:rFonts w:hint="eastAsia" w:hAnsi="仿宋_GB2312" w:eastAsia="仿宋_GB2312" w:cs="仿宋_GB2312"/>
          <w:sz w:val="32"/>
          <w:szCs w:val="20"/>
        </w:rPr>
        <w:t>严格按照法定时限和内容要求向社会公开经部门批复的单位决算。</w:t>
      </w:r>
    </w:p>
    <w:p>
      <w:pPr>
        <w:ind w:firstLine="643" w:firstLineChars="200"/>
        <w:rPr>
          <w:rFonts w:hAnsi="仿宋_GB2312" w:eastAsia="仿宋_GB2312" w:cs="仿宋_GB2312"/>
          <w:sz w:val="32"/>
          <w:szCs w:val="20"/>
        </w:rPr>
      </w:pPr>
      <w:r>
        <w:rPr>
          <w:rFonts w:hint="eastAsia" w:ascii="楷体" w:hAnsi="楷体" w:eastAsia="楷体"/>
          <w:b/>
          <w:sz w:val="32"/>
          <w:szCs w:val="32"/>
        </w:rPr>
        <w:t>（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五</w:t>
      </w:r>
      <w:r>
        <w:rPr>
          <w:rFonts w:hint="eastAsia" w:ascii="楷体" w:hAnsi="楷体" w:eastAsia="楷体"/>
          <w:b/>
          <w:sz w:val="32"/>
          <w:szCs w:val="32"/>
        </w:rPr>
        <w:t>）加强决算分析，积极服务决策管理。</w:t>
      </w:r>
      <w:r>
        <w:rPr>
          <w:rFonts w:hint="eastAsia" w:hAnsi="仿宋_GB2312" w:eastAsia="仿宋_GB2312" w:cs="仿宋_GB2312"/>
          <w:sz w:val="32"/>
          <w:szCs w:val="20"/>
          <w:lang w:eastAsia="zh-CN"/>
        </w:rPr>
        <w:t>区</w:t>
      </w:r>
      <w:r>
        <w:rPr>
          <w:rFonts w:hint="eastAsia" w:hAnsi="仿宋_GB2312" w:eastAsia="仿宋_GB2312" w:cs="仿宋_GB2312"/>
          <w:sz w:val="32"/>
          <w:szCs w:val="20"/>
        </w:rPr>
        <w:t>直各部门、单位和各级财政要摒弃重编审、轻分析的传统思维，扎实开展部门决算分析应用工作。要及时整理体系化决算数据资料，加强数据汇聚融合和共享共用，实现数据增值。要完善分析评价指标，紧密关联预算编制、执行、监督等要求，探索建立对部门和单位的“数据画像”。要加强决算分析，对决算收支</w:t>
      </w:r>
      <w:r>
        <w:rPr>
          <w:rFonts w:hint="eastAsia" w:hAnsi="仿宋_GB2312" w:eastAsia="仿宋_GB2312" w:cs="仿宋_GB2312"/>
          <w:sz w:val="32"/>
          <w:szCs w:val="20"/>
          <w:highlight w:val="none"/>
        </w:rPr>
        <w:t>余</w:t>
      </w:r>
      <w:r>
        <w:rPr>
          <w:rFonts w:hint="eastAsia" w:hAnsi="仿宋_GB2312" w:eastAsia="仿宋_GB2312" w:cs="仿宋_GB2312"/>
          <w:sz w:val="32"/>
          <w:szCs w:val="20"/>
        </w:rPr>
        <w:t>增减变化、预决算差异等原因分析，要全面深入，切合实际。要围绕中央、省、市重大决策部署落实情况以及财政中心工作，结合决算编审发现的问题和决算分析评价揭示的问题，开展专题研究，解析问题，探求规律，提出政策建议，更好发挥决算服务决策的职能作用。</w:t>
      </w:r>
    </w:p>
    <w:p>
      <w:pPr>
        <w:spacing w:line="54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二、部门决算报送要求</w:t>
      </w:r>
    </w:p>
    <w:p>
      <w:pPr>
        <w:spacing w:line="540" w:lineRule="exact"/>
        <w:ind w:firstLine="643" w:firstLineChars="200"/>
        <w:rPr>
          <w:rFonts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（一）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区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直部门报送方式和时间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1、2023年1月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6日前，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直各部门、单位填报</w:t>
      </w:r>
      <w:r>
        <w:rPr>
          <w:rFonts w:hint="eastAsia" w:ascii="仿宋_GB2312" w:eastAsia="仿宋_GB2312"/>
          <w:b/>
          <w:sz w:val="32"/>
          <w:szCs w:val="32"/>
        </w:rPr>
        <w:t>《银行账户年检表》（附件1）</w:t>
      </w:r>
      <w:r>
        <w:rPr>
          <w:rFonts w:hint="eastAsia" w:ascii="仿宋_GB2312" w:eastAsia="仿宋_GB2312"/>
          <w:sz w:val="32"/>
          <w:szCs w:val="32"/>
        </w:rPr>
        <w:t>，纸质档盖章后送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财政局</w:t>
      </w:r>
      <w:r>
        <w:rPr>
          <w:rFonts w:hint="eastAsia" w:ascii="仿宋_GB2312" w:eastAsia="仿宋_GB2312"/>
          <w:sz w:val="32"/>
          <w:szCs w:val="32"/>
          <w:lang w:eastAsia="zh-CN"/>
        </w:rPr>
        <w:t>国库股</w:t>
      </w:r>
      <w:r>
        <w:rPr>
          <w:rFonts w:hint="eastAsia" w:ascii="仿宋_GB2312" w:eastAsia="仿宋_GB2312"/>
          <w:sz w:val="32"/>
          <w:szCs w:val="32"/>
        </w:rPr>
        <w:t>一份，同时电子档发送至邮箱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460663106</w:t>
      </w:r>
      <w:r>
        <w:rPr>
          <w:rFonts w:ascii="仿宋_GB2312" w:eastAsia="仿宋_GB2312"/>
          <w:sz w:val="32"/>
          <w:szCs w:val="32"/>
        </w:rPr>
        <w:t>@163.com</w:t>
      </w:r>
      <w:r>
        <w:rPr>
          <w:rFonts w:hint="eastAsia" w:ascii="仿宋_GB2312" w:eastAsia="仿宋_GB2312"/>
          <w:sz w:val="32"/>
          <w:szCs w:val="32"/>
        </w:rPr>
        <w:t>；填报《</w:t>
      </w:r>
      <w:r>
        <w:rPr>
          <w:rFonts w:hint="eastAsia" w:ascii="仿宋_GB2312" w:eastAsia="仿宋_GB2312"/>
          <w:b/>
          <w:sz w:val="32"/>
          <w:szCs w:val="32"/>
        </w:rPr>
        <w:t>资产信息审核表》（附件2），</w:t>
      </w:r>
      <w:r>
        <w:rPr>
          <w:rFonts w:hint="eastAsia" w:ascii="仿宋_GB2312" w:eastAsia="仿宋_GB2312"/>
          <w:sz w:val="32"/>
          <w:szCs w:val="32"/>
        </w:rPr>
        <w:t>纸质档盖章后报财政局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资产股</w:t>
      </w:r>
      <w:r>
        <w:rPr>
          <w:rFonts w:hint="eastAsia" w:ascii="仿宋_GB2312" w:eastAsia="仿宋_GB2312"/>
          <w:sz w:val="32"/>
          <w:szCs w:val="32"/>
        </w:rPr>
        <w:t>审核。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直各部门、单位于2023年1月1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日前，将本部门、单位决算报表及填报说明一式一份通过预算管理一体化系统上报到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财政局</w:t>
      </w:r>
      <w:r>
        <w:rPr>
          <w:rFonts w:hint="eastAsia" w:ascii="仿宋_GB2312" w:eastAsia="仿宋_GB2312"/>
          <w:sz w:val="32"/>
          <w:szCs w:val="32"/>
          <w:highlight w:val="none"/>
        </w:rPr>
        <w:t>归口</w:t>
      </w:r>
      <w:r>
        <w:rPr>
          <w:rFonts w:hint="eastAsia" w:ascii="仿宋_GB2312" w:eastAsia="仿宋_GB2312"/>
          <w:sz w:val="32"/>
          <w:szCs w:val="32"/>
        </w:rPr>
        <w:t>业务</w:t>
      </w:r>
      <w:r>
        <w:rPr>
          <w:rFonts w:hint="eastAsia" w:ascii="仿宋_GB2312" w:eastAsia="仿宋_GB2312"/>
          <w:sz w:val="32"/>
          <w:szCs w:val="32"/>
          <w:lang w:eastAsia="zh-CN"/>
        </w:rPr>
        <w:t>股</w:t>
      </w:r>
      <w:r>
        <w:rPr>
          <w:rFonts w:hint="eastAsia" w:ascii="仿宋_GB2312" w:eastAsia="仿宋_GB2312"/>
          <w:sz w:val="32"/>
          <w:szCs w:val="32"/>
        </w:rPr>
        <w:t>室。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财政局归口业务</w:t>
      </w:r>
      <w:r>
        <w:rPr>
          <w:rFonts w:hint="eastAsia" w:ascii="仿宋_GB2312" w:eastAsia="仿宋_GB2312"/>
          <w:sz w:val="32"/>
          <w:szCs w:val="32"/>
          <w:lang w:eastAsia="zh-CN"/>
        </w:rPr>
        <w:t>股</w:t>
      </w:r>
      <w:r>
        <w:rPr>
          <w:rFonts w:hint="eastAsia" w:ascii="仿宋_GB2312" w:eastAsia="仿宋_GB2312"/>
          <w:sz w:val="32"/>
          <w:szCs w:val="32"/>
        </w:rPr>
        <w:t>室将对所报决算报表进行审核，并对需要调整的数据提出修改意见；对无需调整或调整通过后的部门决算数据，由归口业务</w:t>
      </w:r>
      <w:r>
        <w:rPr>
          <w:rFonts w:hint="eastAsia" w:ascii="仿宋_GB2312" w:eastAsia="仿宋_GB2312"/>
          <w:sz w:val="32"/>
          <w:szCs w:val="32"/>
          <w:lang w:eastAsia="zh-CN"/>
        </w:rPr>
        <w:t>股</w:t>
      </w:r>
      <w:r>
        <w:rPr>
          <w:rFonts w:hint="eastAsia" w:ascii="仿宋_GB2312" w:eastAsia="仿宋_GB2312"/>
          <w:sz w:val="32"/>
          <w:szCs w:val="32"/>
        </w:rPr>
        <w:t>室于1月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日前汇总至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财政局</w:t>
      </w:r>
      <w:r>
        <w:rPr>
          <w:rFonts w:hint="eastAsia" w:ascii="仿宋_GB2312" w:eastAsia="仿宋_GB2312"/>
          <w:sz w:val="32"/>
          <w:szCs w:val="32"/>
          <w:lang w:eastAsia="zh-CN"/>
        </w:rPr>
        <w:t>国库股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附件1：《银行账户年检表》</w:t>
      </w:r>
    </w:p>
    <w:p>
      <w:pPr>
        <w:spacing w:line="540" w:lineRule="exact"/>
        <w:ind w:left="653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2：《资产信息审核表》</w:t>
      </w:r>
    </w:p>
    <w:p>
      <w:pPr>
        <w:spacing w:line="53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</w:p>
    <w:p>
      <w:pPr>
        <w:spacing w:line="530" w:lineRule="exact"/>
        <w:rPr>
          <w:rFonts w:ascii="仿宋_GB2312" w:eastAsia="仿宋_GB2312"/>
          <w:sz w:val="32"/>
          <w:szCs w:val="32"/>
        </w:rPr>
      </w:pPr>
    </w:p>
    <w:p>
      <w:pPr>
        <w:spacing w:line="530" w:lineRule="exact"/>
        <w:ind w:right="204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滁州市</w:t>
      </w:r>
      <w:r>
        <w:rPr>
          <w:rFonts w:hint="eastAsia" w:ascii="仿宋_GB2312" w:eastAsia="仿宋_GB2312"/>
          <w:sz w:val="32"/>
          <w:szCs w:val="32"/>
          <w:lang w:eastAsia="zh-CN"/>
        </w:rPr>
        <w:t>南谯区</w:t>
      </w:r>
      <w:r>
        <w:rPr>
          <w:rFonts w:hint="eastAsia" w:ascii="仿宋_GB2312" w:eastAsia="仿宋_GB2312"/>
          <w:sz w:val="32"/>
          <w:szCs w:val="32"/>
        </w:rPr>
        <w:t>财政局</w:t>
      </w:r>
    </w:p>
    <w:p>
      <w:pPr>
        <w:spacing w:line="530" w:lineRule="exact"/>
        <w:ind w:right="204" w:firstLine="5440" w:firstLineChars="17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ZjNjMTE4NDljYjYzNzUwYzVlYTE1YTMzY2IwNWIifQ=="/>
  </w:docVars>
  <w:rsids>
    <w:rsidRoot w:val="00000000"/>
    <w:rsid w:val="0FDA0154"/>
    <w:rsid w:val="11E34E67"/>
    <w:rsid w:val="1AE526B1"/>
    <w:rsid w:val="1DF72097"/>
    <w:rsid w:val="21056B70"/>
    <w:rsid w:val="2DFA6AB6"/>
    <w:rsid w:val="2F9B00CB"/>
    <w:rsid w:val="34634B98"/>
    <w:rsid w:val="3E2D7F3A"/>
    <w:rsid w:val="43D3108D"/>
    <w:rsid w:val="43DB6677"/>
    <w:rsid w:val="4DE16605"/>
    <w:rsid w:val="51D55573"/>
    <w:rsid w:val="66A87CFF"/>
    <w:rsid w:val="67995D2C"/>
    <w:rsid w:val="6FC10F44"/>
    <w:rsid w:val="70BA08E3"/>
    <w:rsid w:val="712E44ED"/>
    <w:rsid w:val="717D37B4"/>
    <w:rsid w:val="735A381E"/>
    <w:rsid w:val="735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1927</Words>
  <Characters>1968</Characters>
  <Lines>0</Lines>
  <Paragraphs>0</Paragraphs>
  <TotalTime>0</TotalTime>
  <ScaleCrop>false</ScaleCrop>
  <LinksUpToDate>false</LinksUpToDate>
  <CharactersWithSpaces>2020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2023-01-12T03:26:00Z</dcterms:created>
  <dc:creator>Administrator</dc:creator>
  <cp:lastModifiedBy>路人丁</cp:lastModifiedBy>
  <dcterms:modified xsi:type="dcterms:W3CDTF">2023-01-12T07:20:46Z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424F32D50E114256B4CE43EE31313156</vt:lpwstr>
  </property>
</Properties>
</file>