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南谯区烟花爆竹经营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（零售）网点布点规划方案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30"/>
          <w:szCs w:val="30"/>
        </w:rPr>
        <w:t>(征求意见稿）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为加强我区烟花爆竹经营安全管理，科学构建我区烟花爆竹经营网络，建立安全、规范、稳定、有序的烟花爆竹经营秩序，根据《烟花爆竹安全管理条例》（国务院令第455号）、《烟花爆竹经营许可实施办法》（安监总局令第65号）以及相关法律法规的规定，结合我区烟花爆竹市场经营状况，制定南谯区烟花爆竹经营（零售）网点布点规划方案。</w:t>
      </w:r>
    </w:p>
    <w:p>
      <w:pPr>
        <w:spacing w:line="550" w:lineRule="exact"/>
        <w:ind w:firstLine="640" w:firstLineChars="200"/>
        <w:rPr>
          <w:rFonts w:ascii="黑体" w:hAnsi="仿宋" w:eastAsia="黑体" w:cs="宋体"/>
          <w:szCs w:val="32"/>
        </w:rPr>
      </w:pPr>
      <w:r>
        <w:rPr>
          <w:rFonts w:hint="eastAsia" w:ascii="黑体" w:hAnsi="仿宋" w:eastAsia="黑体" w:cs="宋体"/>
          <w:szCs w:val="32"/>
        </w:rPr>
        <w:t>一、布点规划原则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按照“保障安全、统一规划、合理布局、总量控制、适度竞争”的审批原则，坚持“安全第一、预防为主、综合治理”方针，积极完善烟花爆竹安全监管体系，通过烟花爆竹经营（零售）网点布点规划方案的实施，使零售经营单位布点更加科学合理，夯实烟花爆竹市场安全基础性工作，构建烟花爆竹安全生产工作长效机制。规范烟花爆竹零售市场安全监管，落实烟花爆竹零售点安全生产主体责任，完善各项安全管理制度，大力推进安全隐患排查治理工作，切实保障广大人民群众的生命财产安全,避免发生人身伤害和意外事故。</w:t>
      </w:r>
    </w:p>
    <w:p>
      <w:pPr>
        <w:spacing w:line="550" w:lineRule="exact"/>
        <w:ind w:firstLine="640" w:firstLineChars="200"/>
        <w:rPr>
          <w:rFonts w:ascii="黑体" w:hAnsi="仿宋" w:eastAsia="黑体" w:cs="宋体"/>
          <w:szCs w:val="32"/>
        </w:rPr>
      </w:pPr>
      <w:r>
        <w:rPr>
          <w:rFonts w:hint="eastAsia" w:ascii="黑体" w:hAnsi="仿宋" w:eastAsia="黑体" w:cs="宋体"/>
          <w:szCs w:val="32"/>
        </w:rPr>
        <w:t>二、布点规划数量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综合考虑我区各镇的人口分布实际情况，按照“保障安全、统一规划、合理布局、总量控制、适度竞争”的原则，计划布设烟花爆竹零售点原则上总数不超过74家，各镇具体规划零售点数见附件。</w:t>
      </w:r>
    </w:p>
    <w:p>
      <w:pPr>
        <w:spacing w:line="550" w:lineRule="exact"/>
        <w:ind w:firstLine="640" w:firstLineChars="200"/>
        <w:rPr>
          <w:rFonts w:ascii="黑体" w:hAnsi="仿宋" w:eastAsia="黑体" w:cs="宋体"/>
          <w:szCs w:val="32"/>
        </w:rPr>
      </w:pPr>
      <w:bookmarkStart w:id="0" w:name="3"/>
      <w:r>
        <w:rPr>
          <w:rFonts w:hint="eastAsia" w:ascii="黑体" w:hAnsi="仿宋" w:eastAsia="黑体" w:cs="宋体"/>
          <w:szCs w:val="32"/>
        </w:rPr>
        <w:t>三、</w:t>
      </w:r>
      <w:bookmarkEnd w:id="0"/>
      <w:r>
        <w:rPr>
          <w:rFonts w:hint="eastAsia" w:ascii="黑体" w:hAnsi="仿宋" w:eastAsia="黑体" w:cs="宋体"/>
          <w:szCs w:val="32"/>
        </w:rPr>
        <w:t>布点规划条件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1、不得在烟花爆竹禁放区范围内布设烟花爆竹零售点；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2、符合区应急管理局制定的零售经营布点规划；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3、主要负责人经过安全培训合格，销售人员经过安全知识教育；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4、实行专柜销售时，安排专人销售，专柜相对独立，并与其他柜台保持一定的距离，保证安全通道畅通；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color w:val="0000FF"/>
          <w:szCs w:val="32"/>
        </w:rPr>
      </w:pPr>
      <w:r>
        <w:rPr>
          <w:rFonts w:hint="eastAsia" w:ascii="仿宋_GB2312" w:hAnsi="仿宋" w:eastAsia="仿宋_GB2312" w:cs="宋体"/>
          <w:szCs w:val="32"/>
        </w:rPr>
        <w:t>5、零售场所的面积不小于</w:t>
      </w:r>
      <w:r>
        <w:rPr>
          <w:rFonts w:hint="eastAsia" w:ascii="仿宋_GB2312" w:hAnsi="仿宋" w:eastAsia="仿宋_GB2312"/>
          <w:szCs w:val="32"/>
        </w:rPr>
        <w:t>10</w:t>
      </w:r>
      <w:r>
        <w:rPr>
          <w:rFonts w:hint="eastAsia" w:ascii="仿宋_GB2312" w:hAnsi="仿宋" w:eastAsia="仿宋_GB2312" w:cs="宋体"/>
          <w:szCs w:val="32"/>
        </w:rPr>
        <w:t>平方米，其周边</w:t>
      </w:r>
      <w:r>
        <w:rPr>
          <w:rFonts w:hint="eastAsia" w:ascii="仿宋_GB2312" w:hAnsi="仿宋" w:eastAsia="仿宋_GB2312"/>
          <w:szCs w:val="32"/>
        </w:rPr>
        <w:t>50</w:t>
      </w:r>
      <w:r>
        <w:rPr>
          <w:rFonts w:hint="eastAsia" w:ascii="仿宋_GB2312" w:hAnsi="仿宋" w:eastAsia="仿宋_GB2312" w:cs="宋体"/>
          <w:szCs w:val="32"/>
        </w:rPr>
        <w:t>米范围内没有其他烟花爆竹零售点，并与学校、幼儿园、医院、集贸市场等人员密集场所和加油站等易燃易爆物品生产、储存设施等重点建筑物保持</w:t>
      </w:r>
      <w:r>
        <w:rPr>
          <w:rFonts w:hint="eastAsia" w:ascii="仿宋_GB2312" w:hAnsi="仿宋" w:eastAsia="仿宋_GB2312"/>
          <w:szCs w:val="32"/>
        </w:rPr>
        <w:t>100</w:t>
      </w:r>
      <w:r>
        <w:rPr>
          <w:rFonts w:hint="eastAsia" w:ascii="仿宋_GB2312" w:hAnsi="仿宋" w:eastAsia="仿宋_GB2312" w:cs="宋体"/>
          <w:szCs w:val="32"/>
        </w:rPr>
        <w:t>米以上的安全距离；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6、零售场所配备必要的消防器材，张贴明显的安全警示标志；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7、零售场所</w:t>
      </w:r>
      <w:r>
        <w:rPr>
          <w:rFonts w:hint="eastAsia" w:ascii="仿宋_GB2312" w:eastAsia="仿宋_GB2312"/>
          <w:szCs w:val="32"/>
        </w:rPr>
        <w:t>内不得吸烟和动用明火；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8、法律、法规规定的其他条件。</w:t>
      </w:r>
    </w:p>
    <w:p>
      <w:pPr>
        <w:spacing w:line="550" w:lineRule="exact"/>
        <w:ind w:firstLine="640" w:firstLineChars="200"/>
        <w:rPr>
          <w:rFonts w:ascii="黑体" w:hAnsi="仿宋" w:eastAsia="黑体" w:cs="宋体"/>
          <w:szCs w:val="32"/>
        </w:rPr>
      </w:pPr>
      <w:r>
        <w:rPr>
          <w:rFonts w:hint="eastAsia" w:ascii="黑体" w:hAnsi="仿宋" w:eastAsia="黑体" w:cs="宋体"/>
          <w:szCs w:val="32"/>
        </w:rPr>
        <w:t>四、有关要求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643" w:firstLineChars="200"/>
        <w:rPr>
          <w:rFonts w:ascii="仿宋_GB2312" w:hAnsi="仿宋" w:eastAsia="仿宋_GB2312" w:cs="宋体"/>
          <w:kern w:val="2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2"/>
          <w:sz w:val="32"/>
          <w:szCs w:val="32"/>
        </w:rPr>
        <w:t>（一）严格落实属地监管责任。</w:t>
      </w:r>
      <w:r>
        <w:rPr>
          <w:rFonts w:hint="eastAsia" w:ascii="仿宋_GB2312" w:hAnsi="仿宋" w:eastAsia="仿宋_GB2312" w:cs="宋体"/>
          <w:kern w:val="2"/>
          <w:sz w:val="32"/>
          <w:szCs w:val="32"/>
        </w:rPr>
        <w:t>各镇人民政府要按照安全生产属地管理原则，根据本《方案》的控制数量，协助区应急管理局做好行政许可工作，具体负责辖区内零售经营户宣传工作和布点规划落实的组织工作。切实加强安全监管，定期对零售点开展安全检查，并督促和指导各零售经营户落实安全生产各项规章制度和措施，切实整改各类安全事故隐患，严防事故的发生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643" w:firstLineChars="200"/>
        <w:rPr>
          <w:rFonts w:ascii="仿宋_GB2312" w:hAnsi="仿宋" w:eastAsia="仿宋_GB2312" w:cs="宋体"/>
          <w:kern w:val="2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2"/>
          <w:sz w:val="32"/>
          <w:szCs w:val="32"/>
        </w:rPr>
        <w:t>（二）严格落实行业监管责任。</w:t>
      </w:r>
      <w:r>
        <w:rPr>
          <w:rFonts w:hint="eastAsia" w:ascii="仿宋_GB2312" w:hAnsi="仿宋" w:eastAsia="仿宋_GB2312" w:cs="宋体"/>
          <w:kern w:val="2"/>
          <w:sz w:val="32"/>
          <w:szCs w:val="32"/>
        </w:rPr>
        <w:t>区应急管理局按照公开、公正、公平的原则负责《烟花爆竹经营（零售）许可证》颁发管理工作，对不符合布点规划要求的不予颁发许可证。同时强化烟花爆竹经营领域的监管执法工作，发现有违法、违规经营行为要严格依照相关法律法规进行处理。</w:t>
      </w:r>
    </w:p>
    <w:p>
      <w:pPr>
        <w:spacing w:line="550" w:lineRule="exact"/>
        <w:ind w:firstLine="643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楷体_GB2312" w:hAnsi="仿宋" w:eastAsia="楷体_GB2312" w:cs="宋体"/>
          <w:b/>
          <w:szCs w:val="32"/>
        </w:rPr>
        <w:t>（三）强化各相关部门监管合力。</w:t>
      </w:r>
      <w:r>
        <w:rPr>
          <w:rFonts w:hint="eastAsia" w:ascii="仿宋_GB2312" w:hAnsi="仿宋" w:eastAsia="仿宋_GB2312" w:cs="宋体"/>
          <w:szCs w:val="32"/>
        </w:rPr>
        <w:t>区安委办牵头组织区公安、区住建交通、区市场监督管理等部门对全区经营市场进行专项检查，强化烟花爆竹经营、运输、储存、燃放、销毁等各环节的安全管理，严厉打击非法、违法经营行为，进一步规范市场经营秩序，确保烟花爆竹经营市场安全稳定。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本方案自发布之日起实施，如遇法律法规或政策调整再重新修订后发布。</w:t>
      </w:r>
    </w:p>
    <w:p>
      <w:pPr>
        <w:spacing w:line="550" w:lineRule="exact"/>
        <w:rPr>
          <w:rFonts w:hint="eastAsia" w:ascii="仿宋_GB2312" w:hAnsi="仿宋" w:eastAsia="仿宋_GB2312" w:cs="宋体"/>
          <w:szCs w:val="32"/>
          <w:lang w:eastAsia="zh-CN"/>
        </w:rPr>
      </w:pPr>
      <w:r>
        <w:rPr>
          <w:rFonts w:hint="eastAsia" w:ascii="仿宋_GB2312" w:hAnsi="仿宋" w:eastAsia="仿宋_GB2312" w:cs="宋体"/>
          <w:szCs w:val="32"/>
        </w:rPr>
        <w:t>附件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宋体"/>
          <w:szCs w:val="32"/>
        </w:rPr>
        <w:t>南谯区烟花爆竹经营（零售）网点布点规划情况表</w:t>
      </w:r>
      <w:r>
        <w:rPr>
          <w:rFonts w:hint="eastAsia" w:ascii="仿宋_GB2312" w:hAnsi="仿宋" w:eastAsia="仿宋_GB2312" w:cs="宋体"/>
          <w:szCs w:val="32"/>
          <w:lang w:eastAsia="zh-CN"/>
        </w:rPr>
        <w:t>；</w:t>
      </w:r>
    </w:p>
    <w:p>
      <w:pPr>
        <w:spacing w:line="550" w:lineRule="exact"/>
        <w:rPr>
          <w:rFonts w:ascii="仿宋_GB2312" w:hAnsi="仿宋" w:eastAsia="仿宋_GB2312" w:cs="宋体"/>
          <w:w w:val="90"/>
          <w:szCs w:val="32"/>
        </w:rPr>
      </w:pPr>
      <w:r>
        <w:rPr>
          <w:rFonts w:hint="eastAsia" w:ascii="仿宋_GB2312" w:hAnsi="仿宋" w:eastAsia="仿宋_GB2312" w:cs="宋体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szCs w:val="32"/>
        </w:rPr>
        <w:t xml:space="preserve"> 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宋体"/>
          <w:szCs w:val="32"/>
          <w:lang w:eastAsia="zh-CN"/>
        </w:rPr>
        <w:t>《</w:t>
      </w:r>
      <w:r>
        <w:rPr>
          <w:rFonts w:hint="eastAsia" w:ascii="仿宋_GB2312" w:hAnsi="仿宋" w:eastAsia="仿宋_GB2312" w:cs="宋体"/>
          <w:szCs w:val="32"/>
        </w:rPr>
        <w:t>南谯区烟花爆竹经营（零售）网点布点规划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方案</w:t>
      </w:r>
      <w:r>
        <w:rPr>
          <w:rFonts w:hint="eastAsia" w:ascii="仿宋_GB2312" w:hAnsi="仿宋" w:eastAsia="仿宋_GB2312" w:cs="宋体"/>
          <w:szCs w:val="32"/>
        </w:rPr>
        <w:t xml:space="preserve">   </w:t>
      </w:r>
    </w:p>
    <w:p>
      <w:pPr>
        <w:spacing w:line="550" w:lineRule="exact"/>
        <w:rPr>
          <w:rFonts w:hint="default" w:ascii="仿宋_GB2312" w:hAnsi="仿宋" w:eastAsia="仿宋_GB2312" w:cs="宋体"/>
          <w:w w:val="90"/>
          <w:szCs w:val="32"/>
          <w:lang w:val="en-US"/>
        </w:rPr>
      </w:pPr>
      <w:r>
        <w:rPr>
          <w:rFonts w:hint="eastAsia" w:ascii="仿宋_GB2312" w:hAnsi="仿宋" w:eastAsia="仿宋_GB2312" w:cs="宋体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起草说明。</w:t>
      </w: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550" w:lineRule="exact"/>
        <w:rPr>
          <w:rFonts w:ascii="仿宋_GB2312" w:hAnsi="仿宋" w:eastAsia="仿宋_GB2312" w:cs="宋体"/>
          <w:szCs w:val="32"/>
        </w:rPr>
      </w:pPr>
      <w:r>
        <w:rPr>
          <w:rFonts w:hint="eastAsia" w:ascii="黑体" w:hAnsi="仿宋" w:eastAsia="黑体" w:cs="宋体"/>
          <w:szCs w:val="32"/>
        </w:rPr>
        <w:t xml:space="preserve">                          </w:t>
      </w:r>
      <w:r>
        <w:rPr>
          <w:rFonts w:hint="eastAsia" w:ascii="仿宋_GB2312" w:hAnsi="仿宋" w:eastAsia="仿宋_GB2312" w:cs="宋体"/>
          <w:szCs w:val="32"/>
        </w:rPr>
        <w:t>滁州市南谯区应急管理局</w:t>
      </w:r>
    </w:p>
    <w:p>
      <w:pPr>
        <w:spacing w:line="550" w:lineRule="exact"/>
        <w:rPr>
          <w:rFonts w:ascii="仿宋_GB2312" w:hAnsi="仿宋" w:eastAsia="仿宋_GB2312" w:cs="宋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 xml:space="preserve">                             2023年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Cs w:val="32"/>
        </w:rPr>
        <w:t>月</w:t>
      </w:r>
      <w:r>
        <w:rPr>
          <w:rFonts w:hint="eastAsia" w:ascii="仿宋_GB2312" w:hAnsi="仿宋" w:eastAsia="仿宋_GB2312" w:cs="宋体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szCs w:val="32"/>
        </w:rPr>
        <w:t>日</w:t>
      </w: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ascii="黑体" w:hAnsi="仿宋" w:eastAsia="黑体" w:cs="宋体"/>
          <w:szCs w:val="32"/>
        </w:rPr>
      </w:pPr>
    </w:p>
    <w:p>
      <w:pPr>
        <w:spacing w:line="480" w:lineRule="exact"/>
        <w:rPr>
          <w:rFonts w:hint="eastAsia" w:ascii="黑体" w:hAnsi="仿宋" w:eastAsia="黑体" w:cs="宋体"/>
          <w:szCs w:val="32"/>
          <w:lang w:val="en-US" w:eastAsia="zh-CN"/>
        </w:rPr>
      </w:pPr>
      <w:r>
        <w:rPr>
          <w:rFonts w:hint="eastAsia" w:ascii="黑体" w:hAnsi="仿宋" w:eastAsia="黑体" w:cs="宋体"/>
          <w:szCs w:val="32"/>
        </w:rPr>
        <w:t>附件</w:t>
      </w:r>
      <w:r>
        <w:rPr>
          <w:rFonts w:hint="eastAsia" w:ascii="黑体" w:hAnsi="仿宋" w:eastAsia="黑体" w:cs="宋体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宋体" w:hAnsi="宋体" w:eastAsia="微软雅黑" w:cs="宋体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南谯区烟花爆竹经营（零售）网点布点规划情况表</w:t>
      </w:r>
    </w:p>
    <w:p>
      <w:pPr>
        <w:spacing w:line="440" w:lineRule="exact"/>
        <w:jc w:val="center"/>
        <w:rPr>
          <w:rFonts w:ascii="宋体" w:hAnsi="宋体" w:eastAsia="宋体" w:cs="宋体"/>
          <w:b/>
          <w:w w:val="90"/>
          <w:sz w:val="44"/>
          <w:szCs w:val="44"/>
        </w:rPr>
      </w:pPr>
    </w:p>
    <w:tbl>
      <w:tblPr>
        <w:tblStyle w:val="4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191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hAnsi="仿宋" w:eastAsia="仿宋_GB2312" w:cs="宋体"/>
                <w:szCs w:val="32"/>
              </w:rPr>
              <w:t>所在辖区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宋体"/>
                <w:szCs w:val="32"/>
              </w:rPr>
              <w:t>计划布设烟花爆竹零售点数量上限（家）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>现有</w:t>
            </w:r>
            <w:r>
              <w:rPr>
                <w:rFonts w:hint="eastAsia" w:ascii="仿宋_GB2312" w:hAnsi="仿宋" w:eastAsia="仿宋_GB2312" w:cs="宋体"/>
                <w:szCs w:val="32"/>
              </w:rPr>
              <w:t>烟花爆竹零售点数量（家）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沙河镇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</w:rPr>
              <w:t>10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黄泥岗镇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13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(黄泥街道9、张浦郢街道4)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13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(黄泥街道9、张浦郢街道4)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珠龙镇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14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（珠龙街道8、广卫街道6）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14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（珠龙街道8、广卫街道6）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大柳镇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6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（曲亭街道3、大柳街道3）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 xml:space="preserve">6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（曲亭街道3、大柳街道3）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章广镇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>10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（章广街道5、常山街道3、皇甫街道2）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  <w:shd w:val="clear" w:color="auto" w:fill="FFFFFF"/>
              </w:rPr>
              <w:t>10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（章广街道5、常山街道3、皇甫街道2）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施集镇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</w:rPr>
              <w:t xml:space="preserve">21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（花山街道10、施集街道8、李集街道3）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32"/>
              </w:rPr>
              <w:t xml:space="preserve">21 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（花山街道10、施集街道8、李集街道3）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333333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合计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333333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74</w:t>
            </w:r>
          </w:p>
        </w:tc>
        <w:tc>
          <w:tcPr>
            <w:tcW w:w="30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Cs w:val="32"/>
              </w:rPr>
              <w:t>74</w:t>
            </w:r>
          </w:p>
        </w:tc>
      </w:tr>
    </w:tbl>
    <w:p>
      <w:pPr>
        <w:spacing w:line="520" w:lineRule="exact"/>
        <w:rPr>
          <w:rFonts w:ascii="黑体" w:hAnsi="仿宋" w:eastAsia="黑体" w:cs="宋体"/>
          <w:szCs w:val="32"/>
        </w:rPr>
      </w:pPr>
    </w:p>
    <w:p>
      <w:pPr>
        <w:spacing w:line="520" w:lineRule="exact"/>
        <w:rPr>
          <w:rFonts w:hint="eastAsia" w:ascii="黑体" w:hAnsi="仿宋" w:eastAsia="黑体" w:cs="宋体"/>
          <w:szCs w:val="32"/>
          <w:lang w:val="en-US" w:eastAsia="zh-CN"/>
        </w:rPr>
      </w:pPr>
      <w:r>
        <w:rPr>
          <w:rFonts w:hint="eastAsia" w:ascii="黑体" w:hAnsi="仿宋" w:eastAsia="黑体" w:cs="宋体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《南谯区烟花爆竹经营（零售）网点布点规划方案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（征求意见稿）》起草说明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一、起草背景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烟花爆竹经营安全管理，科学构建我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烟花爆竹经营网络，建立安</w:t>
      </w:r>
      <w:r>
        <w:rPr>
          <w:rFonts w:hint="eastAsia" w:ascii="仿宋_GB2312" w:hAnsi="仿宋_GB2312" w:eastAsia="仿宋_GB2312" w:cs="仿宋_GB2312"/>
          <w:sz w:val="32"/>
          <w:szCs w:val="32"/>
        </w:rPr>
        <w:t>全、规范、稳定、有序的烟花爆竹经营秩序，根据《烟花爆竹安全管理条例》（国务院令第455号）、《烟花爆竹经营许可实施办法》（安监总局令第65号）以及相关法律法规的规定，结合我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烟花爆竹市场经营状况，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我局草拟了《南谯区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烟花爆竹经营（零售）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布点规划方案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二、制定方案的必要性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零售市场安全监管，夯实烟花爆竹市场安全基础性工作，构建烟花爆竹安全生产工作长效机制。落实烟花爆竹零售点安全生产主体责任，完善各项安全管理制度，大力推进安全隐患排查治理工作，切实保障广大人民群众的生命财产安全,避免发生人身伤害和意外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，因此，有必要制定《方案》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三、起草过程</w:t>
      </w:r>
    </w:p>
    <w:p>
      <w:pPr>
        <w:numPr>
          <w:ilvl w:val="0"/>
          <w:numId w:val="0"/>
        </w:numPr>
        <w:spacing w:line="55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为做好《方案》起草工作，区应急局积极向相关区直单位和镇政府征求意见，并向社会公众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四、主要内容</w:t>
      </w:r>
    </w:p>
    <w:p>
      <w:pPr>
        <w:numPr>
          <w:ilvl w:val="0"/>
          <w:numId w:val="0"/>
        </w:numPr>
        <w:spacing w:line="55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布点规划原则。按照“保障安全、统一规划、合理布局、总量控制、适度竞争”的审批原则，坚持“安全第一、预防为主、综合治理”方针，积极完善烟花爆竹安全监管体系。</w:t>
      </w:r>
    </w:p>
    <w:p>
      <w:pPr>
        <w:numPr>
          <w:ilvl w:val="0"/>
          <w:numId w:val="0"/>
        </w:numPr>
        <w:spacing w:line="55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（二）布点规划数量。综合考虑我区各镇的人口分布实际情况，计划布设烟花爆竹零售点原则上总数不超过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74家。</w:t>
      </w:r>
    </w:p>
    <w:p>
      <w:pPr>
        <w:numPr>
          <w:ilvl w:val="0"/>
          <w:numId w:val="0"/>
        </w:numPr>
        <w:spacing w:line="55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（三）布点规划条件。按照《烟花爆竹经营许可实施办法》（安监总局令第65号）以及相关法律法规的规定，申请烟花爆竹零售经营户需要符合8个方面的条件。</w:t>
      </w:r>
    </w:p>
    <w:p>
      <w:pPr>
        <w:numPr>
          <w:ilvl w:val="0"/>
          <w:numId w:val="0"/>
        </w:numPr>
        <w:spacing w:line="55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DBmMTJmYTcwZGE0YWM5NDQ2M2JlOTczNzE5OTEifQ=="/>
  </w:docVars>
  <w:rsids>
    <w:rsidRoot w:val="3244337D"/>
    <w:rsid w:val="008B4BA0"/>
    <w:rsid w:val="00A06114"/>
    <w:rsid w:val="02231CAA"/>
    <w:rsid w:val="06AF7021"/>
    <w:rsid w:val="0A97181F"/>
    <w:rsid w:val="0AA843A5"/>
    <w:rsid w:val="0AFA16B0"/>
    <w:rsid w:val="0C2874D9"/>
    <w:rsid w:val="13034854"/>
    <w:rsid w:val="17FF5BC0"/>
    <w:rsid w:val="1BFD5C8B"/>
    <w:rsid w:val="1E735E32"/>
    <w:rsid w:val="1E942856"/>
    <w:rsid w:val="1EC66B40"/>
    <w:rsid w:val="209658DA"/>
    <w:rsid w:val="21881DC1"/>
    <w:rsid w:val="26753DC0"/>
    <w:rsid w:val="267C5CD2"/>
    <w:rsid w:val="2790039C"/>
    <w:rsid w:val="2DB3567A"/>
    <w:rsid w:val="2FE11E49"/>
    <w:rsid w:val="3244337D"/>
    <w:rsid w:val="345A6C0B"/>
    <w:rsid w:val="3A8D7B84"/>
    <w:rsid w:val="3E1778E1"/>
    <w:rsid w:val="3EEB5AE4"/>
    <w:rsid w:val="420360FB"/>
    <w:rsid w:val="420954E0"/>
    <w:rsid w:val="45FD1D2E"/>
    <w:rsid w:val="464C2732"/>
    <w:rsid w:val="477B3436"/>
    <w:rsid w:val="485B361E"/>
    <w:rsid w:val="48AC2985"/>
    <w:rsid w:val="48CA182B"/>
    <w:rsid w:val="4B1D4687"/>
    <w:rsid w:val="57216F0B"/>
    <w:rsid w:val="591A3B97"/>
    <w:rsid w:val="595871C0"/>
    <w:rsid w:val="5BA60C6D"/>
    <w:rsid w:val="5CEF3FA6"/>
    <w:rsid w:val="5E782E29"/>
    <w:rsid w:val="61481234"/>
    <w:rsid w:val="614F1D0B"/>
    <w:rsid w:val="6383771D"/>
    <w:rsid w:val="64236BC8"/>
    <w:rsid w:val="64EB7E45"/>
    <w:rsid w:val="65840F17"/>
    <w:rsid w:val="65DE5B1F"/>
    <w:rsid w:val="66FD716B"/>
    <w:rsid w:val="67175BF0"/>
    <w:rsid w:val="6B1D2A9D"/>
    <w:rsid w:val="6D212F67"/>
    <w:rsid w:val="6E431CD5"/>
    <w:rsid w:val="70427084"/>
    <w:rsid w:val="718A3E11"/>
    <w:rsid w:val="7476258E"/>
    <w:rsid w:val="79160434"/>
    <w:rsid w:val="79225666"/>
    <w:rsid w:val="7A8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1549</Words>
  <Characters>1576</Characters>
  <Lines>12</Lines>
  <Paragraphs>3</Paragraphs>
  <TotalTime>3</TotalTime>
  <ScaleCrop>false</ScaleCrop>
  <LinksUpToDate>false</LinksUpToDate>
  <CharactersWithSpaces>1644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2023-08-28T09:32:00Z</dcterms:created>
  <dc:creator>Defendor</dc:creator>
  <cp:lastModifiedBy>WPS_1644287471</cp:lastModifiedBy>
  <cp:lastPrinted>2023-07-24T07:59:00Z</cp:lastPrinted>
  <dcterms:modified xsi:type="dcterms:W3CDTF">2023-09-07T02:43:29Z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986427B55EBE42D29E333226260E2A7C_13</vt:lpwstr>
  </property>
</Properties>
</file>