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hAnsi="方正小标宋简体" w:eastAsia="方正小标宋简体" w:cs="Times New Roman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南谯区住建交通局</w:t>
      </w:r>
      <w:r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年度政府信息公开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Times New Roman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工作年度报告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Times New Roman"/>
          <w:color w:val="auto"/>
          <w:sz w:val="44"/>
          <w:szCs w:val="44"/>
        </w:rPr>
      </w:pPr>
    </w:p>
    <w:p>
      <w:pPr>
        <w:spacing w:line="580" w:lineRule="exact"/>
        <w:ind w:firstLine="473" w:firstLineChars="148"/>
        <w:jc w:val="left"/>
        <w:rPr>
          <w:rFonts w:ascii="仿宋_GB2312" w:hAnsi="仿宋_GB2312" w:eastAsia="仿宋_GB2312" w:cs="Times New Roman"/>
          <w:color w:val="auto"/>
          <w:sz w:val="30"/>
          <w:szCs w:val="30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本报告是《中华人民共和国政府信息公开条例》确立的法定制度安排，按照《中华人民共和国政府信息公开工作年度报告格式》要求，由南谯区住建交通局编制。本报告主要由总体情况，主动公开政府信息情况，收到和处理政府信息公开申请情况，政府信息公开行政复议、行政诉讼情况，存在的主要问题及改进情况，其他需要报告的事项等部分组成。本报告中所列数据的统计期限自</w:t>
      </w:r>
      <w:r>
        <w:rPr>
          <w:rFonts w:ascii="仿宋_GB2312" w:hAnsi="宋体" w:eastAsia="仿宋_GB2312" w:cs="仿宋_GB2312"/>
          <w:color w:val="auto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年</w:t>
      </w:r>
      <w:r>
        <w:rPr>
          <w:rFonts w:ascii="仿宋_GB2312" w:hAnsi="宋体" w:eastAsia="仿宋_GB2312" w:cs="仿宋_GB2312"/>
          <w:color w:val="auto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月</w:t>
      </w:r>
      <w:r>
        <w:rPr>
          <w:rFonts w:ascii="仿宋_GB2312" w:hAnsi="宋体" w:eastAsia="仿宋_GB2312" w:cs="仿宋_GB2312"/>
          <w:color w:val="auto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日起至</w:t>
      </w:r>
      <w:r>
        <w:rPr>
          <w:rFonts w:ascii="仿宋_GB2312" w:hAnsi="宋体" w:eastAsia="仿宋_GB2312" w:cs="仿宋_GB2312"/>
          <w:color w:val="auto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年</w:t>
      </w:r>
      <w:r>
        <w:rPr>
          <w:rFonts w:ascii="仿宋_GB2312" w:hAnsi="宋体" w:eastAsia="仿宋_GB2312" w:cs="仿宋_GB2312"/>
          <w:color w:val="auto"/>
          <w:kern w:val="0"/>
          <w:sz w:val="32"/>
          <w:szCs w:val="32"/>
        </w:rPr>
        <w:t>12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月</w:t>
      </w:r>
      <w:r>
        <w:rPr>
          <w:rFonts w:ascii="仿宋_GB2312" w:hAnsi="宋体" w:eastAsia="仿宋_GB2312" w:cs="仿宋_GB2312"/>
          <w:color w:val="auto"/>
          <w:kern w:val="0"/>
          <w:sz w:val="32"/>
          <w:szCs w:val="32"/>
        </w:rPr>
        <w:t>31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日止。本报告以网上公开的形式进行公布。如对本报告有任何疑问，请与南谯区住建交通局联系（办公地点：滁州市南谯区乌衣镇政务新区政务服务中心</w:t>
      </w:r>
      <w:r>
        <w:rPr>
          <w:rFonts w:ascii="仿宋_GB2312" w:hAnsi="宋体" w:eastAsia="仿宋_GB2312" w:cs="仿宋_GB2312"/>
          <w:color w:val="auto"/>
          <w:kern w:val="0"/>
          <w:sz w:val="32"/>
          <w:szCs w:val="32"/>
        </w:rPr>
        <w:t>5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号</w:t>
      </w:r>
      <w:r>
        <w:rPr>
          <w:rFonts w:ascii="仿宋_GB2312" w:hAnsi="宋体" w:eastAsia="仿宋_GB2312" w:cs="仿宋_GB2312"/>
          <w:color w:val="auto"/>
          <w:kern w:val="0"/>
          <w:sz w:val="32"/>
          <w:szCs w:val="32"/>
        </w:rPr>
        <w:t>429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室</w:t>
      </w:r>
      <w:r>
        <w:rPr>
          <w:rFonts w:ascii="仿宋_GB2312" w:hAnsi="宋体" w:eastAsia="仿宋_GB2312" w:cs="仿宋_GB2312"/>
          <w:color w:val="auto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；办公时间：上午</w:t>
      </w:r>
      <w:r>
        <w:rPr>
          <w:rFonts w:ascii="仿宋_GB2312" w:hAnsi="宋体" w:eastAsia="仿宋_GB2312" w:cs="仿宋_GB2312"/>
          <w:color w:val="auto"/>
          <w:kern w:val="0"/>
          <w:sz w:val="32"/>
          <w:szCs w:val="32"/>
        </w:rPr>
        <w:t>8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：</w:t>
      </w:r>
      <w:r>
        <w:rPr>
          <w:rFonts w:ascii="仿宋_GB2312" w:hAnsi="宋体" w:eastAsia="仿宋_GB2312" w:cs="仿宋_GB2312"/>
          <w:color w:val="auto"/>
          <w:kern w:val="0"/>
          <w:sz w:val="32"/>
          <w:szCs w:val="32"/>
        </w:rPr>
        <w:t>30-12:00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，下午</w:t>
      </w:r>
      <w:r>
        <w:rPr>
          <w:rFonts w:ascii="仿宋_GB2312" w:hAnsi="宋体" w:eastAsia="仿宋_GB2312" w:cs="仿宋_GB2312"/>
          <w:color w:val="auto"/>
          <w:kern w:val="0"/>
          <w:sz w:val="32"/>
          <w:szCs w:val="32"/>
        </w:rPr>
        <w:t>2:00-5:30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；办公电话</w:t>
      </w:r>
      <w:r>
        <w:rPr>
          <w:rFonts w:ascii="仿宋_GB2312" w:hAnsi="宋体" w:eastAsia="仿宋_GB2312" w:cs="仿宋_GB2312"/>
          <w:color w:val="auto"/>
          <w:kern w:val="0"/>
          <w:sz w:val="32"/>
          <w:szCs w:val="32"/>
        </w:rPr>
        <w:t>: 0550-3901960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，邮箱：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"mailto:1031388431@qq.com%EF%BC%89%E3%80%82" </w:instrText>
      </w:r>
      <w:r>
        <w:rPr>
          <w:color w:val="auto"/>
        </w:rPr>
        <w:fldChar w:fldCharType="separate"/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/>
        </w:rPr>
        <w:t>765977692</w:t>
      </w:r>
      <w:r>
        <w:rPr>
          <w:rFonts w:ascii="仿宋_GB2312" w:hAnsi="宋体" w:eastAsia="仿宋_GB2312" w:cs="仿宋_GB2312"/>
          <w:color w:val="auto"/>
          <w:kern w:val="0"/>
          <w:sz w:val="32"/>
          <w:szCs w:val="32"/>
        </w:rPr>
        <w:t>@qq.com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）。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fldChar w:fldCharType="end"/>
      </w:r>
    </w:p>
    <w:p>
      <w:pPr>
        <w:ind w:firstLine="600" w:firstLineChars="200"/>
        <w:jc w:val="left"/>
        <w:rPr>
          <w:rFonts w:ascii="仿宋_GB2312" w:hAnsi="仿宋_GB2312" w:eastAsia="仿宋_GB2312" w:cs="Times New Roman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</w:rPr>
        <w:t>一、总体情况</w:t>
      </w:r>
    </w:p>
    <w:p>
      <w:pPr>
        <w:widowControl/>
        <w:shd w:val="clear" w:color="auto" w:fill="FFFFFF"/>
        <w:ind w:firstLine="643"/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asci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年</w:t>
      </w:r>
      <w:r>
        <w:rPr>
          <w:rFonts w:ascii="仿宋_GB2312" w:eastAsia="仿宋_GB2312" w:cs="仿宋_GB2312"/>
          <w:color w:val="auto"/>
          <w:sz w:val="32"/>
          <w:szCs w:val="32"/>
        </w:rPr>
        <w:t>,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区住建交通局全面贯彻落实《中华人民共和国政府信息公开条例》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和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省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、市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政务公开办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文件精神，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严格按照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南谯区政务公开办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要求，结合单位实际，认真落实南谯区政务公开办有关要求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，突出政务公开重点，提高政务公开水平，促进了住建交通领域管理服务水平的全面提升</w:t>
      </w:r>
      <w:r>
        <w:rPr>
          <w:rFonts w:ascii="仿宋_GB2312" w:eastAsia="仿宋_GB2312" w:cs="仿宋_GB2312"/>
          <w:color w:val="auto"/>
          <w:sz w:val="32"/>
          <w:szCs w:val="32"/>
        </w:rPr>
        <w:t>,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保障群众知情权</w:t>
      </w:r>
      <w:r>
        <w:rPr>
          <w:rFonts w:ascii="仿宋_GB2312" w:eastAsia="仿宋_GB2312" w:cs="仿宋_GB2312"/>
          <w:color w:val="auto"/>
          <w:sz w:val="32"/>
          <w:szCs w:val="32"/>
        </w:rPr>
        <w:t>,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自觉接受群众监督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580" w:lineRule="exact"/>
        <w:ind w:firstLine="446" w:firstLineChars="148"/>
        <w:jc w:val="left"/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0"/>
          <w:szCs w:val="30"/>
        </w:rPr>
        <w:t>主动公开。</w:t>
      </w:r>
      <w:r>
        <w:rPr>
          <w:rFonts w:eastAsia="仿宋_GB2312"/>
          <w:color w:val="auto"/>
          <w:kern w:val="0"/>
          <w:sz w:val="32"/>
          <w:szCs w:val="32"/>
        </w:rPr>
        <w:t>202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年我局健全工作机制，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根据《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滁州市南谯区人民政府办公室关于印发南谯区2022年政务公开重点工作任务分工的通知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》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南政办秘〔2022〕26号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要求，分解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工作任务。</w:t>
      </w:r>
      <w:r>
        <w:rPr>
          <w:rFonts w:hint="eastAsia" w:ascii="仿宋" w:hAnsi="仿宋" w:eastAsia="仿宋"/>
          <w:color w:val="auto"/>
          <w:sz w:val="32"/>
          <w:szCs w:val="32"/>
          <w:shd w:val="clear" w:color="auto" w:fill="FFFFFF"/>
        </w:rPr>
        <w:t>截止到202</w:t>
      </w:r>
      <w:r>
        <w:rPr>
          <w:rFonts w:hint="eastAsia" w:ascii="仿宋" w:hAnsi="仿宋" w:eastAsia="仿宋"/>
          <w:color w:val="auto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/>
          <w:color w:val="auto"/>
          <w:sz w:val="32"/>
          <w:szCs w:val="32"/>
          <w:shd w:val="clear" w:color="auto" w:fill="FFFFFF"/>
        </w:rPr>
        <w:t>年12月31日</w:t>
      </w:r>
      <w:r>
        <w:rPr>
          <w:rFonts w:hint="eastAsia" w:ascii="仿宋" w:hAnsi="仿宋" w:eastAsia="仿宋"/>
          <w:color w:val="auto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我局共发布部门动态、政策法规、人大、政协代表政协委员提案办理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、三公经费决算、年度部门决算公开等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各类信息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148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条。</w:t>
      </w:r>
    </w:p>
    <w:p>
      <w:pPr>
        <w:widowControl/>
        <w:shd w:val="clear" w:color="auto" w:fill="FFFFFF"/>
        <w:ind w:firstLine="643"/>
        <w:rPr>
          <w:rFonts w:ascii="仿宋_GB2312" w:hAnsi="宋体" w:eastAsia="仿宋_GB2312" w:cs="Times New Roman"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0"/>
          <w:szCs w:val="30"/>
        </w:rPr>
        <w:t>（二）依申请公开。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不断加强和规范依申请公开工作，</w:t>
      </w:r>
      <w:r>
        <w:rPr>
          <w:rFonts w:ascii="仿宋_GB2312" w:hAnsi="宋体" w:eastAsia="仿宋_GB2312" w:cs="仿宋_GB2312"/>
          <w:color w:val="auto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年，我局收到自然人依申请公开政府信息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条，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均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已依法按时办理。依据相关规定、按程序要求，在规定时限内予以答复，未收取涉及依申请公开的相关费用。</w:t>
      </w:r>
    </w:p>
    <w:p>
      <w:pPr>
        <w:widowControl/>
        <w:shd w:val="clear" w:color="auto" w:fill="FFFFFF"/>
        <w:ind w:firstLine="643"/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0"/>
          <w:szCs w:val="30"/>
        </w:rPr>
        <w:t>（三）政府信息管理。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进一步加强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对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政府网站集约化平台管理，更好地提供政府信息公开服务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结合住建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、交通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领域工作实际，加强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对相关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领域信息公开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完成门户网站的内容维护工作。我单位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遵循合法、及时、准确便民原则，不断完善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投资和工程建设项目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等栏目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主动报送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投资和工程建设项目审批问题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信息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，及时回应和解决“堵点”问题，推动优化投资和建设环境。</w:t>
      </w:r>
    </w:p>
    <w:p>
      <w:pPr>
        <w:spacing w:line="580" w:lineRule="exact"/>
        <w:ind w:firstLine="446" w:firstLineChars="148"/>
        <w:jc w:val="left"/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/>
          <w:color w:val="auto"/>
          <w:sz w:val="30"/>
          <w:szCs w:val="30"/>
        </w:rPr>
        <w:t>（四）政府信息公开平台建设。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公开平台建设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，落实专人负责平台日常维护、信息更新等工作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。根据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我局工作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实际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完成了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办事项目公开指南的编制，并在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门户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网站进行公示，充分发挥政务信息公开平台作用，优化网站功能、栏目设置，进一步加强专题专栏建设，深化住建交通领域政府信息公开栏目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，加大信息公开力度，确保政府信息公开工作依法有序开展。</w:t>
      </w:r>
    </w:p>
    <w:p>
      <w:pPr>
        <w:numPr>
          <w:ilvl w:val="0"/>
          <w:numId w:val="2"/>
        </w:numPr>
        <w:spacing w:line="580" w:lineRule="exact"/>
        <w:ind w:firstLine="446" w:firstLineChars="148"/>
        <w:jc w:val="left"/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0"/>
          <w:szCs w:val="30"/>
        </w:rPr>
        <w:t>监督保障。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我局将政府信息公开、政务公开落实情况纳入本年度绩效评估考核指标，并自觉接受社会评议和察访核验。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/>
        </w:rPr>
        <w:t>2022年我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局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积极参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加区政府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组织的政务公开业务培训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会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，并组织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局机关人员学习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信息公开各项规章制度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及相关业务知识的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集中培训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会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，提升全体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干部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职工对政务公开的认识和理解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提高公开质量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，规范公开标准。切实方便了群众办事，促进了办事效率的提高，增强了工作透明度。</w:t>
      </w:r>
    </w:p>
    <w:p>
      <w:pPr>
        <w:ind w:firstLine="420" w:firstLineChars="200"/>
        <w:jc w:val="left"/>
        <w:rPr>
          <w:rFonts w:cs="Times New Roman"/>
          <w:color w:val="auto"/>
        </w:rPr>
      </w:pPr>
    </w:p>
    <w:p>
      <w:pPr>
        <w:ind w:firstLine="450" w:firstLineChars="150"/>
        <w:jc w:val="left"/>
        <w:rPr>
          <w:rFonts w:ascii="黑体" w:hAnsi="黑体" w:eastAsia="黑体" w:cs="Times New Roman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</w:rPr>
        <w:t>二、主动公开政府信息情况</w:t>
      </w:r>
    </w:p>
    <w:p>
      <w:pPr>
        <w:jc w:val="center"/>
        <w:rPr>
          <w:rFonts w:cs="Times New Roman"/>
          <w:color w:val="auto"/>
        </w:rPr>
      </w:pPr>
    </w:p>
    <w:tbl>
      <w:tblPr>
        <w:tblStyle w:val="3"/>
        <w:tblW w:w="81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685"/>
        <w:gridCol w:w="1664"/>
        <w:gridCol w:w="16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auto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auto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16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auto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auto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auto"/>
                <w:kern w:val="0"/>
                <w:sz w:val="20"/>
                <w:szCs w:val="20"/>
              </w:rPr>
              <w:t>规章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auto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auto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auto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auto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0"/>
                <w:szCs w:val="20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auto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auto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auto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auto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auto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auto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auto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</w:tr>
    </w:tbl>
    <w:p>
      <w:pPr>
        <w:jc w:val="center"/>
        <w:rPr>
          <w:rFonts w:cs="Times New Roman"/>
          <w:color w:val="auto"/>
        </w:rPr>
      </w:pPr>
    </w:p>
    <w:p>
      <w:pPr>
        <w:jc w:val="left"/>
        <w:rPr>
          <w:rFonts w:ascii="黑体" w:hAnsi="黑体" w:eastAsia="黑体" w:cs="Times New Roman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</w:rPr>
        <w:t>三、收到和处理政府信息公开申请情况</w:t>
      </w:r>
    </w:p>
    <w:p>
      <w:pPr>
        <w:jc w:val="center"/>
        <w:rPr>
          <w:rFonts w:cs="Times New Roman"/>
          <w:color w:val="auto"/>
        </w:rPr>
      </w:pPr>
    </w:p>
    <w:tbl>
      <w:tblPr>
        <w:tblStyle w:val="3"/>
        <w:tblW w:w="90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708"/>
        <w:gridCol w:w="2277"/>
        <w:gridCol w:w="825"/>
        <w:gridCol w:w="765"/>
        <w:gridCol w:w="765"/>
        <w:gridCol w:w="825"/>
        <w:gridCol w:w="903"/>
        <w:gridCol w:w="807"/>
        <w:gridCol w:w="7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8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其他</w:t>
            </w:r>
          </w:p>
        </w:tc>
        <w:tc>
          <w:tcPr>
            <w:tcW w:w="7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rFonts w:hAnsi="楷体" w:eastAsia="楷体"/>
                <w:color w:val="auto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rFonts w:hAnsi="楷体" w:eastAsia="楷体"/>
                <w:color w:val="auto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rFonts w:hAnsi="楷体" w:eastAsia="楷体"/>
                <w:color w:val="auto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rFonts w:eastAsia="楷体"/>
                <w:color w:val="auto"/>
                <w:kern w:val="0"/>
                <w:sz w:val="20"/>
                <w:szCs w:val="20"/>
              </w:rPr>
              <w:t>1.</w:t>
            </w:r>
            <w:r>
              <w:rPr>
                <w:rFonts w:hAnsi="楷体" w:eastAsia="楷体"/>
                <w:color w:val="auto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rFonts w:eastAsia="楷体"/>
                <w:color w:val="auto"/>
                <w:kern w:val="0"/>
                <w:sz w:val="20"/>
                <w:szCs w:val="20"/>
              </w:rPr>
              <w:t>2.</w:t>
            </w:r>
            <w:r>
              <w:rPr>
                <w:rFonts w:hAnsi="楷体" w:eastAsia="楷体"/>
                <w:color w:val="auto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rFonts w:eastAsia="楷体"/>
                <w:color w:val="auto"/>
                <w:kern w:val="0"/>
                <w:sz w:val="20"/>
                <w:szCs w:val="20"/>
              </w:rPr>
              <w:t>3.</w:t>
            </w:r>
            <w:r>
              <w:rPr>
                <w:rFonts w:hAnsi="楷体" w:eastAsia="楷体"/>
                <w:color w:val="auto"/>
                <w:kern w:val="0"/>
                <w:sz w:val="20"/>
                <w:szCs w:val="20"/>
              </w:rPr>
              <w:t>危及</w:t>
            </w:r>
            <w:r>
              <w:rPr>
                <w:rFonts w:eastAsia="楷体"/>
                <w:color w:val="auto"/>
                <w:kern w:val="0"/>
                <w:sz w:val="20"/>
                <w:szCs w:val="20"/>
              </w:rPr>
              <w:t>“</w:t>
            </w:r>
            <w:r>
              <w:rPr>
                <w:rFonts w:hAnsi="楷体" w:eastAsia="楷体"/>
                <w:color w:val="auto"/>
                <w:kern w:val="0"/>
                <w:sz w:val="20"/>
                <w:szCs w:val="20"/>
              </w:rPr>
              <w:t>三安全一稳定</w:t>
            </w:r>
            <w:r>
              <w:rPr>
                <w:rFonts w:eastAsia="楷体"/>
                <w:color w:val="auto"/>
                <w:kern w:val="0"/>
                <w:sz w:val="20"/>
                <w:szCs w:val="20"/>
              </w:rPr>
              <w:t>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rFonts w:eastAsia="楷体"/>
                <w:color w:val="auto"/>
                <w:kern w:val="0"/>
                <w:sz w:val="20"/>
                <w:szCs w:val="20"/>
              </w:rPr>
              <w:t>4.</w:t>
            </w:r>
            <w:r>
              <w:rPr>
                <w:rFonts w:hAnsi="楷体" w:eastAsia="楷体"/>
                <w:color w:val="auto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rFonts w:eastAsia="楷体"/>
                <w:color w:val="auto"/>
                <w:kern w:val="0"/>
                <w:sz w:val="20"/>
                <w:szCs w:val="20"/>
              </w:rPr>
              <w:t>5.</w:t>
            </w:r>
            <w:r>
              <w:rPr>
                <w:rFonts w:hAnsi="楷体" w:eastAsia="楷体"/>
                <w:color w:val="auto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rFonts w:eastAsia="楷体"/>
                <w:color w:val="auto"/>
                <w:kern w:val="0"/>
                <w:sz w:val="20"/>
                <w:szCs w:val="20"/>
              </w:rPr>
              <w:t>6.</w:t>
            </w:r>
            <w:r>
              <w:rPr>
                <w:rFonts w:hAnsi="楷体" w:eastAsia="楷体"/>
                <w:color w:val="auto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rFonts w:eastAsia="楷体"/>
                <w:color w:val="auto"/>
                <w:kern w:val="0"/>
                <w:sz w:val="20"/>
                <w:szCs w:val="20"/>
              </w:rPr>
              <w:t>7.</w:t>
            </w:r>
            <w:r>
              <w:rPr>
                <w:rFonts w:hAnsi="楷体" w:eastAsia="楷体"/>
                <w:color w:val="auto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rFonts w:eastAsia="楷体"/>
                <w:color w:val="auto"/>
                <w:kern w:val="0"/>
                <w:sz w:val="20"/>
                <w:szCs w:val="20"/>
              </w:rPr>
              <w:t>8.</w:t>
            </w:r>
            <w:r>
              <w:rPr>
                <w:rFonts w:hAnsi="楷体" w:eastAsia="楷体"/>
                <w:color w:val="auto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rFonts w:hAnsi="楷体" w:eastAsia="楷体"/>
                <w:color w:val="auto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rFonts w:eastAsia="楷体"/>
                <w:color w:val="auto"/>
                <w:kern w:val="0"/>
                <w:sz w:val="20"/>
                <w:szCs w:val="20"/>
              </w:rPr>
              <w:t>1.</w:t>
            </w:r>
            <w:r>
              <w:rPr>
                <w:rFonts w:hAnsi="楷体" w:eastAsia="楷体"/>
                <w:color w:val="auto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rFonts w:eastAsia="楷体"/>
                <w:color w:val="auto"/>
                <w:kern w:val="0"/>
                <w:sz w:val="20"/>
                <w:szCs w:val="20"/>
              </w:rPr>
              <w:t>2.</w:t>
            </w:r>
            <w:r>
              <w:rPr>
                <w:rFonts w:hAnsi="楷体" w:eastAsia="楷体"/>
                <w:color w:val="auto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rFonts w:eastAsia="楷体"/>
                <w:color w:val="auto"/>
                <w:kern w:val="0"/>
                <w:sz w:val="20"/>
                <w:szCs w:val="20"/>
              </w:rPr>
              <w:t>3.</w:t>
            </w:r>
            <w:r>
              <w:rPr>
                <w:rFonts w:hAnsi="楷体" w:eastAsia="楷体"/>
                <w:color w:val="auto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rFonts w:hAnsi="楷体" w:eastAsia="楷体"/>
                <w:color w:val="auto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rFonts w:eastAsia="楷体"/>
                <w:color w:val="auto"/>
                <w:kern w:val="0"/>
                <w:sz w:val="20"/>
                <w:szCs w:val="20"/>
              </w:rPr>
              <w:t>1.</w:t>
            </w:r>
            <w:r>
              <w:rPr>
                <w:rFonts w:hAnsi="楷体" w:eastAsia="楷体"/>
                <w:color w:val="auto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rFonts w:eastAsia="楷体"/>
                <w:color w:val="auto"/>
                <w:kern w:val="0"/>
                <w:sz w:val="20"/>
                <w:szCs w:val="20"/>
              </w:rPr>
              <w:t>2.</w:t>
            </w:r>
            <w:r>
              <w:rPr>
                <w:rFonts w:hAnsi="楷体" w:eastAsia="楷体"/>
                <w:color w:val="auto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rFonts w:eastAsia="楷体"/>
                <w:color w:val="auto"/>
                <w:kern w:val="0"/>
                <w:sz w:val="20"/>
                <w:szCs w:val="20"/>
              </w:rPr>
              <w:t>3.</w:t>
            </w:r>
            <w:r>
              <w:rPr>
                <w:rFonts w:hAnsi="楷体" w:eastAsia="楷体"/>
                <w:color w:val="auto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rFonts w:eastAsia="楷体"/>
                <w:color w:val="auto"/>
                <w:kern w:val="0"/>
                <w:sz w:val="20"/>
                <w:szCs w:val="20"/>
              </w:rPr>
              <w:t>4.</w:t>
            </w:r>
            <w:r>
              <w:rPr>
                <w:rFonts w:hAnsi="楷体" w:eastAsia="楷体"/>
                <w:color w:val="auto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rFonts w:eastAsia="楷体"/>
                <w:color w:val="auto"/>
                <w:kern w:val="0"/>
                <w:sz w:val="20"/>
                <w:szCs w:val="20"/>
              </w:rPr>
              <w:t>5.</w:t>
            </w:r>
            <w:r>
              <w:rPr>
                <w:rFonts w:hAnsi="楷体" w:eastAsia="楷体"/>
                <w:color w:val="auto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rFonts w:hAnsi="楷体" w:eastAsia="楷体"/>
                <w:color w:val="auto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Ansi="楷体" w:eastAsia="楷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hAnsi="楷体" w:eastAsia="楷体"/>
                <w:color w:val="auto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Ansi="楷体" w:eastAsia="楷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Ansi="楷体" w:eastAsia="楷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hAnsi="楷体" w:eastAsia="楷体"/>
                <w:color w:val="auto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Ansi="楷体" w:eastAsia="楷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Ansi="楷体" w:eastAsia="楷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hAnsi="楷体" w:eastAsia="楷体"/>
                <w:color w:val="auto"/>
                <w:kern w:val="0"/>
                <w:sz w:val="20"/>
                <w:szCs w:val="20"/>
              </w:rPr>
              <w:t>3.其他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rFonts w:hAnsi="楷体" w:eastAsia="楷体"/>
                <w:color w:val="auto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default"/>
                <w:color w:val="auto"/>
                <w:kern w:val="0"/>
                <w:sz w:val="20"/>
                <w:szCs w:val="20"/>
                <w:lang w:val="en-US"/>
              </w:rPr>
              <w:t>0</w:t>
            </w:r>
          </w:p>
        </w:tc>
      </w:tr>
    </w:tbl>
    <w:p>
      <w:pPr>
        <w:jc w:val="center"/>
        <w:rPr>
          <w:rFonts w:cs="Times New Roman"/>
          <w:color w:val="auto"/>
        </w:rPr>
      </w:pPr>
    </w:p>
    <w:p>
      <w:pPr>
        <w:jc w:val="left"/>
        <w:rPr>
          <w:rFonts w:ascii="黑体" w:hAnsi="黑体" w:eastAsia="黑体" w:cs="Times New Roman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</w:rPr>
        <w:t>四、政府信息公开行政复议、行政诉讼情况</w:t>
      </w:r>
    </w:p>
    <w:p>
      <w:pPr>
        <w:jc w:val="center"/>
        <w:rPr>
          <w:rFonts w:cs="Times New Roman"/>
          <w:color w:val="auto"/>
        </w:rPr>
      </w:pPr>
    </w:p>
    <w:tbl>
      <w:tblPr>
        <w:tblStyle w:val="3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auto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auto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auto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auto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auto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auto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auto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rPr>
          <w:rFonts w:cs="Times New Roman"/>
          <w:color w:val="auto"/>
        </w:rPr>
      </w:pPr>
    </w:p>
    <w:p>
      <w:pPr>
        <w:jc w:val="left"/>
        <w:rPr>
          <w:rFonts w:ascii="黑体" w:hAnsi="黑体" w:eastAsia="黑体" w:cs="Times New Roman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</w:rPr>
        <w:t>五、存在的主要问题及改进情况</w:t>
      </w:r>
    </w:p>
    <w:p>
      <w:pPr>
        <w:pStyle w:val="2"/>
        <w:shd w:val="clear" w:color="auto" w:fill="FFFFFF"/>
        <w:spacing w:beforeAutospacing="0" w:afterAutospacing="0" w:line="600" w:lineRule="atLeast"/>
        <w:ind w:firstLine="480" w:firstLineChars="150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存在问题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：一是信息发布“三审”制度落实不严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二是业务人员更换致使履职能力薄弱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spacing w:line="580" w:lineRule="exact"/>
        <w:ind w:firstLine="473" w:firstLineChars="148"/>
        <w:jc w:val="left"/>
        <w:rPr>
          <w:rFonts w:ascii="微软雅黑" w:hAnsi="微软雅黑" w:eastAsia="微软雅黑" w:cs="Times New Roman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针对以上不足，下一步我局将在以下几方面积极改进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一是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坚持发布、审核分工明确，实行先审核再发布</w:t>
      </w:r>
      <w:r>
        <w:rPr>
          <w:rFonts w:hint="eastAsia" w:ascii="仿宋" w:hAnsi="仿宋" w:eastAsia="仿宋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建立健全信息报送和发布制度，严格按照“谁制作、谁公开”，“谁公开、谁审查”，“谁审查、谁负责”的原则，把好审核和审签关，确保信息公开的准确性、权威性、完整性。</w:t>
      </w:r>
      <w:r>
        <w:rPr>
          <w:rFonts w:hint="eastAsia" w:ascii="仿宋" w:hAnsi="仿宋" w:eastAsia="仿宋" w:cs="Times New Roman"/>
          <w:color w:val="auto"/>
          <w:sz w:val="32"/>
          <w:szCs w:val="32"/>
          <w:lang w:eastAsia="zh-CN"/>
        </w:rPr>
        <w:t>二是非必要不更换业务人员，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加强对我局工作人员的培训教育，提高对政务公开的认识。</w:t>
      </w:r>
    </w:p>
    <w:p>
      <w:pPr>
        <w:ind w:firstLine="750" w:firstLineChars="250"/>
        <w:jc w:val="left"/>
        <w:rPr>
          <w:rFonts w:ascii="仿宋_GB2312" w:hAnsi="仿宋_GB2312" w:eastAsia="仿宋_GB2312" w:cs="Times New Roman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</w:rPr>
        <w:t>六、其他需要报告的事项</w:t>
      </w:r>
    </w:p>
    <w:p>
      <w:pPr>
        <w:ind w:firstLine="640" w:firstLineChars="200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按照《国务院办公厅关于印发</w:t>
      </w:r>
      <w:r>
        <w:rPr>
          <w:rFonts w:ascii="仿宋" w:hAnsi="仿宋" w:eastAsia="仿宋" w:cs="仿宋"/>
          <w:color w:val="auto"/>
          <w:sz w:val="32"/>
          <w:szCs w:val="32"/>
        </w:rPr>
        <w:t>&lt;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政府信息公开信息处理费管理办法</w:t>
      </w:r>
      <w:r>
        <w:rPr>
          <w:rFonts w:ascii="仿宋" w:hAnsi="仿宋" w:eastAsia="仿宋" w:cs="仿宋"/>
          <w:color w:val="auto"/>
          <w:sz w:val="32"/>
          <w:szCs w:val="32"/>
        </w:rPr>
        <w:t>&gt;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的通知》（国办函〔</w:t>
      </w:r>
      <w:r>
        <w:rPr>
          <w:rFonts w:ascii="仿宋" w:hAnsi="仿宋" w:eastAsia="仿宋" w:cs="仿宋"/>
          <w:color w:val="auto"/>
          <w:sz w:val="32"/>
          <w:szCs w:val="32"/>
        </w:rPr>
        <w:t>2020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〕</w:t>
      </w:r>
      <w:r>
        <w:rPr>
          <w:rFonts w:ascii="仿宋" w:hAnsi="仿宋" w:eastAsia="仿宋" w:cs="仿宋"/>
          <w:color w:val="auto"/>
          <w:sz w:val="32"/>
          <w:szCs w:val="32"/>
        </w:rPr>
        <w:t>109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号）规定的按件、按量收费标准，本年度没有产生信息公开处理费。</w:t>
      </w:r>
    </w:p>
    <w:p>
      <w:pPr>
        <w:rPr>
          <w:rFonts w:cs="Times New Roman"/>
          <w:color w:val="auto"/>
        </w:rPr>
      </w:pPr>
    </w:p>
    <w:p>
      <w:pPr>
        <w:rPr>
          <w:rFonts w:cs="Times New Roman"/>
          <w:color w:val="auto"/>
        </w:rPr>
      </w:pPr>
    </w:p>
    <w:sectPr>
      <w:pgSz w:w="11906" w:h="16838"/>
      <w:pgMar w:top="1814" w:right="1286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97E95C"/>
    <w:multiLevelType w:val="singleLevel"/>
    <w:tmpl w:val="CE97E95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AFB9E87"/>
    <w:multiLevelType w:val="singleLevel"/>
    <w:tmpl w:val="2AFB9E87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WYwZWIzMjdjYzFlNDAwNGRjOGY4ZDEyYmFlMjdjZGMifQ=="/>
  </w:docVars>
  <w:rsids>
    <w:rsidRoot w:val="00A516A9"/>
    <w:rsid w:val="00032D89"/>
    <w:rsid w:val="00083868"/>
    <w:rsid w:val="000B7BEC"/>
    <w:rsid w:val="000C2F8D"/>
    <w:rsid w:val="0014657B"/>
    <w:rsid w:val="00265A64"/>
    <w:rsid w:val="00281580"/>
    <w:rsid w:val="002851B7"/>
    <w:rsid w:val="002D0A77"/>
    <w:rsid w:val="00310D5E"/>
    <w:rsid w:val="0033122E"/>
    <w:rsid w:val="004123F4"/>
    <w:rsid w:val="004F33A0"/>
    <w:rsid w:val="00585944"/>
    <w:rsid w:val="005C14CA"/>
    <w:rsid w:val="0064599F"/>
    <w:rsid w:val="0068062A"/>
    <w:rsid w:val="00707ADF"/>
    <w:rsid w:val="00721A6E"/>
    <w:rsid w:val="00812D52"/>
    <w:rsid w:val="008A3930"/>
    <w:rsid w:val="008B7D3F"/>
    <w:rsid w:val="008F3983"/>
    <w:rsid w:val="00901C3D"/>
    <w:rsid w:val="00997E80"/>
    <w:rsid w:val="009A60EB"/>
    <w:rsid w:val="00A372DE"/>
    <w:rsid w:val="00A516A9"/>
    <w:rsid w:val="00B10825"/>
    <w:rsid w:val="00B21105"/>
    <w:rsid w:val="00BF6C08"/>
    <w:rsid w:val="00C002CC"/>
    <w:rsid w:val="00C3549A"/>
    <w:rsid w:val="00C3770C"/>
    <w:rsid w:val="00CE6D8C"/>
    <w:rsid w:val="00D9584F"/>
    <w:rsid w:val="00DE0EB2"/>
    <w:rsid w:val="00DE65AB"/>
    <w:rsid w:val="00E02767"/>
    <w:rsid w:val="00E92020"/>
    <w:rsid w:val="018E62F1"/>
    <w:rsid w:val="01C12572"/>
    <w:rsid w:val="064D36BE"/>
    <w:rsid w:val="0B3B1457"/>
    <w:rsid w:val="14F97E15"/>
    <w:rsid w:val="16850C95"/>
    <w:rsid w:val="2AB646FD"/>
    <w:rsid w:val="2B3D1D31"/>
    <w:rsid w:val="2C291CB5"/>
    <w:rsid w:val="3029128E"/>
    <w:rsid w:val="308270DF"/>
    <w:rsid w:val="381B4B8B"/>
    <w:rsid w:val="3B0C1D2F"/>
    <w:rsid w:val="3F796FCF"/>
    <w:rsid w:val="4235657F"/>
    <w:rsid w:val="43DE598C"/>
    <w:rsid w:val="49664220"/>
    <w:rsid w:val="517E126E"/>
    <w:rsid w:val="556F4279"/>
    <w:rsid w:val="56EF6833"/>
    <w:rsid w:val="58605528"/>
    <w:rsid w:val="61964309"/>
    <w:rsid w:val="633D060E"/>
    <w:rsid w:val="6FCF065F"/>
    <w:rsid w:val="70726075"/>
    <w:rsid w:val="73ED58BF"/>
    <w:rsid w:val="78AE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99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5</Pages>
  <Words>2324</Words>
  <Characters>2430</Characters>
  <Lines>0</Lines>
  <Paragraphs>0</Paragraphs>
  <TotalTime>25</TotalTime>
  <ScaleCrop>false</ScaleCrop>
  <LinksUpToDate>false</LinksUpToDate>
  <CharactersWithSpaces>2432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2022-05-26T01:51:00Z</dcterms:created>
  <dc:creator>Administrator</dc:creator>
  <cp:lastModifiedBy>焦叶子</cp:lastModifiedBy>
  <dcterms:modified xsi:type="dcterms:W3CDTF">2024-02-19T00:57:07Z</dcterms:modified>
  <dc:title>南谯区住建交通局2021年度政府信息公开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80DD05B0A716456A8264DE5C99E28633</vt:lpwstr>
  </property>
</Properties>
</file>