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ind w:firstLine="883" w:firstLineChars="200"/>
        <w:rPr>
          <w:rFonts w:ascii="方正小标宋简体" w:hAnsi="仿宋" w:eastAsia="方正小标宋简体" w:cs="仿宋"/>
          <w:b/>
          <w:bCs/>
          <w:kern w:val="2"/>
          <w:sz w:val="44"/>
          <w:szCs w:val="44"/>
        </w:rPr>
      </w:pPr>
      <w:bookmarkStart w:id="0" w:name="OLE_LINK1"/>
      <w:r>
        <w:rPr>
          <w:rFonts w:hint="eastAsia" w:ascii="方正小标宋简体" w:hAnsi="仿宋" w:eastAsia="方正小标宋简体" w:cs="仿宋"/>
          <w:b/>
          <w:bCs/>
          <w:kern w:val="2"/>
          <w:sz w:val="44"/>
          <w:szCs w:val="44"/>
        </w:rPr>
        <w:t>南谯区经信局202</w:t>
      </w:r>
      <w:r>
        <w:rPr>
          <w:rFonts w:hint="eastAsia" w:ascii="方正小标宋简体" w:hAnsi="仿宋" w:eastAsia="方正小标宋简体" w:cs="仿宋"/>
          <w:b/>
          <w:bCs/>
          <w:kern w:val="2"/>
          <w:sz w:val="44"/>
          <w:szCs w:val="44"/>
          <w:lang w:val="en-US" w:eastAsia="zh-CN"/>
        </w:rPr>
        <w:t>3</w:t>
      </w:r>
      <w:r>
        <w:rPr>
          <w:rFonts w:hint="eastAsia" w:ascii="方正小标宋简体" w:hAnsi="仿宋" w:eastAsia="方正小标宋简体" w:cs="仿宋"/>
          <w:b/>
          <w:bCs/>
          <w:kern w:val="2"/>
          <w:sz w:val="44"/>
          <w:szCs w:val="44"/>
        </w:rPr>
        <w:t>年政府信息</w:t>
      </w:r>
    </w:p>
    <w:p>
      <w:pPr>
        <w:widowControl w:val="0"/>
        <w:adjustRightInd/>
        <w:snapToGrid/>
        <w:spacing w:after="0"/>
        <w:ind w:firstLine="2209" w:firstLineChars="500"/>
        <w:rPr>
          <w:rFonts w:ascii="方正小标宋简体" w:hAnsi="仿宋" w:eastAsia="方正小标宋简体" w:cs="仿宋"/>
          <w:b/>
          <w:bCs/>
          <w:kern w:val="2"/>
          <w:sz w:val="44"/>
          <w:szCs w:val="44"/>
        </w:rPr>
      </w:pPr>
      <w:r>
        <w:rPr>
          <w:rFonts w:hint="eastAsia" w:ascii="方正小标宋简体" w:hAnsi="仿宋" w:eastAsia="方正小标宋简体" w:cs="仿宋"/>
          <w:b/>
          <w:bCs/>
          <w:kern w:val="2"/>
          <w:sz w:val="44"/>
          <w:szCs w:val="44"/>
        </w:rPr>
        <w:t>公开工作年度报告</w:t>
      </w:r>
    </w:p>
    <w:p>
      <w:pPr>
        <w:spacing w:line="600" w:lineRule="exact"/>
        <w:ind w:firstLine="640" w:firstLineChars="200"/>
        <w:jc w:val="both"/>
        <w:rPr>
          <w:rFonts w:ascii="仿宋_GB2312" w:eastAsia="仿宋_GB2312"/>
          <w:color w:val="333333"/>
          <w:sz w:val="32"/>
          <w:szCs w:val="32"/>
          <w:shd w:val="clear" w:color="auto" w:fill="FFFFFF"/>
        </w:rPr>
      </w:pPr>
      <w:bookmarkStart w:id="1" w:name="OLE_LINK3"/>
      <w:r>
        <w:rPr>
          <w:rFonts w:hint="eastAsia" w:ascii="仿宋_GB2312" w:eastAsia="仿宋_GB2312"/>
          <w:color w:val="333333"/>
          <w:sz w:val="32"/>
          <w:szCs w:val="32"/>
          <w:shd w:val="clear" w:color="auto" w:fill="FFFFFF"/>
        </w:rPr>
        <w:t>本报告是《中华人民共和国政府信息公开条例》确立的法定制度安排，按照《中华人民共和国政府信息公开工作年度报告格式》要求，由南谯区经信局编制。本报告主要由总体情况，主动公开政府信息情况，收到和处理政府信息公开申请情况，政府信息公开行政复议、行政诉讼情况，存在的主要问题及改进情况，其他需要报告的事项等部分组成。本报告中所列数据的统计期限自202</w:t>
      </w:r>
      <w:r>
        <w:rPr>
          <w:rFonts w:hint="eastAsia" w:ascii="仿宋_GB2312" w:eastAsia="仿宋_GB2312"/>
          <w:color w:val="333333"/>
          <w:sz w:val="32"/>
          <w:szCs w:val="32"/>
          <w:shd w:val="clear" w:color="auto" w:fill="FFFFFF"/>
          <w:lang w:val="en-US" w:eastAsia="zh-CN"/>
        </w:rPr>
        <w:t>3</w:t>
      </w:r>
      <w:r>
        <w:rPr>
          <w:rFonts w:hint="eastAsia" w:ascii="仿宋_GB2312" w:eastAsia="仿宋_GB2312"/>
          <w:color w:val="333333"/>
          <w:sz w:val="32"/>
          <w:szCs w:val="32"/>
          <w:shd w:val="clear" w:color="auto" w:fill="FFFFFF"/>
        </w:rPr>
        <w:t>年1月1日起至202</w:t>
      </w:r>
      <w:r>
        <w:rPr>
          <w:rFonts w:hint="eastAsia" w:ascii="仿宋_GB2312" w:eastAsia="仿宋_GB2312"/>
          <w:color w:val="333333"/>
          <w:sz w:val="32"/>
          <w:szCs w:val="32"/>
          <w:shd w:val="clear" w:color="auto" w:fill="FFFFFF"/>
          <w:lang w:val="en-US" w:eastAsia="zh-CN"/>
        </w:rPr>
        <w:t>3</w:t>
      </w:r>
      <w:r>
        <w:rPr>
          <w:rFonts w:hint="eastAsia" w:ascii="仿宋_GB2312" w:eastAsia="仿宋_GB2312"/>
          <w:color w:val="333333"/>
          <w:sz w:val="32"/>
          <w:szCs w:val="32"/>
          <w:shd w:val="clear" w:color="auto" w:fill="FFFFFF"/>
        </w:rPr>
        <w:t>年12月31日止。本报告以网上公开的形式进行公布。如对本报告有任何疑问，请与南谯区经济和信息化局办公室联系（地址：滁州市南谯区乌衣镇南谯政务新区7号楼308室，电话：0550-3119139，邮编：239050）。</w:t>
      </w:r>
    </w:p>
    <w:p>
      <w:pPr>
        <w:pStyle w:val="5"/>
        <w:shd w:val="clear" w:color="auto" w:fill="FFFFFF"/>
        <w:spacing w:before="0" w:beforeAutospacing="0" w:after="0" w:afterAutospacing="0" w:line="600" w:lineRule="exact"/>
        <w:ind w:firstLine="643" w:firstLineChars="200"/>
        <w:jc w:val="both"/>
        <w:rPr>
          <w:rFonts w:ascii="黑体" w:hAnsi="黑体" w:eastAsia="黑体"/>
          <w:color w:val="333333"/>
          <w:sz w:val="32"/>
          <w:szCs w:val="32"/>
        </w:rPr>
      </w:pPr>
      <w:r>
        <w:rPr>
          <w:rFonts w:hint="eastAsia" w:ascii="黑体" w:hAnsi="黑体" w:eastAsia="黑体"/>
          <w:b/>
          <w:bCs/>
          <w:color w:val="333333"/>
          <w:sz w:val="32"/>
          <w:szCs w:val="32"/>
        </w:rPr>
        <w:t>一、总体情况</w:t>
      </w:r>
    </w:p>
    <w:p>
      <w:pPr>
        <w:pStyle w:val="5"/>
        <w:shd w:val="clear" w:color="auto" w:fill="FFFFFF"/>
        <w:spacing w:before="0" w:beforeAutospacing="0" w:after="0" w:afterAutospacing="0" w:line="600" w:lineRule="exact"/>
        <w:ind w:firstLine="640" w:firstLineChars="200"/>
        <w:jc w:val="both"/>
        <w:rPr>
          <w:rFonts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我局全面贯彻落实各项政务公开文件精神，加强组织协调，健全工作机制，按照文件要求，全面安排部署经信局202</w:t>
      </w:r>
      <w:r>
        <w:rPr>
          <w:rFonts w:hint="eastAsia" w:ascii="仿宋_GB2312" w:hAnsi="仿宋" w:eastAsia="仿宋_GB2312" w:cs="仿宋"/>
          <w:color w:val="333333"/>
          <w:sz w:val="32"/>
          <w:szCs w:val="32"/>
          <w:shd w:val="clear" w:color="auto" w:fill="FFFFFF"/>
          <w:lang w:val="en-US" w:eastAsia="zh-CN"/>
        </w:rPr>
        <w:t>3</w:t>
      </w:r>
      <w:r>
        <w:rPr>
          <w:rFonts w:hint="eastAsia" w:ascii="仿宋_GB2312" w:hAnsi="仿宋" w:eastAsia="仿宋_GB2312" w:cs="仿宋"/>
          <w:color w:val="333333"/>
          <w:sz w:val="32"/>
          <w:szCs w:val="32"/>
          <w:shd w:val="clear" w:color="auto" w:fill="FFFFFF"/>
        </w:rPr>
        <w:t>年政务公开工作。</w:t>
      </w:r>
    </w:p>
    <w:p>
      <w:pPr>
        <w:pStyle w:val="5"/>
        <w:shd w:val="clear" w:color="auto" w:fill="FFFFFF"/>
        <w:spacing w:before="0" w:beforeAutospacing="0" w:after="0" w:afterAutospacing="0" w:line="600" w:lineRule="exact"/>
        <w:ind w:firstLine="643" w:firstLineChars="200"/>
        <w:jc w:val="both"/>
        <w:rPr>
          <w:rFonts w:ascii="仿宋_GB2312" w:hAnsi="仿宋" w:eastAsia="仿宋_GB2312"/>
          <w:color w:val="333333"/>
          <w:sz w:val="32"/>
          <w:szCs w:val="32"/>
          <w:shd w:val="clear" w:color="auto" w:fill="FFFFFF"/>
        </w:rPr>
      </w:pPr>
      <w:r>
        <w:rPr>
          <w:rFonts w:hint="eastAsia" w:ascii="楷体" w:hAnsi="楷体" w:eastAsia="楷体"/>
          <w:b/>
          <w:bCs/>
          <w:color w:val="333333"/>
          <w:sz w:val="32"/>
          <w:szCs w:val="32"/>
        </w:rPr>
        <w:t>（一）主动公开情况。</w:t>
      </w:r>
      <w:r>
        <w:rPr>
          <w:rFonts w:hint="eastAsia" w:ascii="仿宋" w:hAnsi="仿宋" w:eastAsia="仿宋"/>
          <w:color w:val="333333"/>
          <w:sz w:val="32"/>
          <w:szCs w:val="32"/>
          <w:shd w:val="clear" w:color="auto" w:fill="FFFFFF"/>
        </w:rPr>
        <w:t>202</w:t>
      </w:r>
      <w:r>
        <w:rPr>
          <w:rFonts w:hint="eastAsia" w:ascii="仿宋" w:hAnsi="仿宋" w:eastAsia="仿宋"/>
          <w:color w:val="333333"/>
          <w:sz w:val="32"/>
          <w:szCs w:val="32"/>
          <w:shd w:val="clear" w:color="auto" w:fill="FFFFFF"/>
          <w:lang w:val="en-US" w:eastAsia="zh-CN"/>
        </w:rPr>
        <w:t>3</w:t>
      </w:r>
      <w:r>
        <w:rPr>
          <w:rFonts w:hint="eastAsia" w:ascii="仿宋" w:hAnsi="仿宋" w:eastAsia="仿宋"/>
          <w:color w:val="333333"/>
          <w:sz w:val="32"/>
          <w:szCs w:val="32"/>
          <w:shd w:val="clear" w:color="auto" w:fill="FFFFFF"/>
        </w:rPr>
        <w:t>年，我局认真贯彻实施《政府信息公开条例》，按照上级主管部门的政务公开工作相关要求，进一步强化政府信息公开工作的组织领导，不断完善政府信息公开机制，截止到202</w:t>
      </w:r>
      <w:r>
        <w:rPr>
          <w:rFonts w:hint="eastAsia" w:ascii="仿宋" w:hAnsi="仿宋" w:eastAsia="仿宋"/>
          <w:color w:val="333333"/>
          <w:sz w:val="32"/>
          <w:szCs w:val="32"/>
          <w:shd w:val="clear" w:color="auto" w:fill="FFFFFF"/>
          <w:lang w:val="en-US" w:eastAsia="zh-CN"/>
        </w:rPr>
        <w:t>3</w:t>
      </w:r>
      <w:r>
        <w:rPr>
          <w:rFonts w:hint="eastAsia" w:ascii="仿宋" w:hAnsi="仿宋" w:eastAsia="仿宋"/>
          <w:color w:val="333333"/>
          <w:sz w:val="32"/>
          <w:szCs w:val="32"/>
          <w:shd w:val="clear" w:color="auto" w:fill="FFFFFF"/>
        </w:rPr>
        <w:t>年12月31日</w:t>
      </w:r>
      <w:r>
        <w:rPr>
          <w:rFonts w:hint="eastAsia" w:ascii="仿宋_GB2312" w:hAnsi="仿宋" w:eastAsia="仿宋_GB2312"/>
          <w:color w:val="333333"/>
          <w:sz w:val="32"/>
          <w:szCs w:val="32"/>
          <w:shd w:val="clear" w:color="auto" w:fill="FFFFFF"/>
        </w:rPr>
        <w:t>我局在区政府信息公开网上发布各类信息</w:t>
      </w:r>
      <w:r>
        <w:rPr>
          <w:rFonts w:hint="eastAsia" w:ascii="仿宋_GB2312" w:hAnsi="仿宋" w:eastAsia="仿宋_GB2312"/>
          <w:sz w:val="32"/>
          <w:szCs w:val="32"/>
          <w:shd w:val="clear" w:color="auto" w:fill="FFFFFF"/>
          <w:lang w:val="en-US" w:eastAsia="zh-CN"/>
        </w:rPr>
        <w:t>88</w:t>
      </w:r>
      <w:r>
        <w:rPr>
          <w:rFonts w:hint="eastAsia" w:ascii="仿宋_GB2312" w:hAnsi="仿宋" w:eastAsia="仿宋_GB2312"/>
          <w:color w:val="333333"/>
          <w:sz w:val="32"/>
          <w:szCs w:val="32"/>
          <w:shd w:val="clear" w:color="auto" w:fill="FFFFFF"/>
        </w:rPr>
        <w:t>条，涉及政策法规、规划计划、财务预决算、部门</w:t>
      </w:r>
      <w:r>
        <w:rPr>
          <w:rFonts w:hint="eastAsia" w:ascii="仿宋_GB2312" w:eastAsia="仿宋_GB2312"/>
          <w:color w:val="333333"/>
          <w:sz w:val="32"/>
          <w:szCs w:val="32"/>
        </w:rPr>
        <w:t>“三公”经费、</w:t>
      </w:r>
      <w:r>
        <w:rPr>
          <w:rFonts w:hint="eastAsia" w:ascii="仿宋_GB2312" w:eastAsia="仿宋_GB2312"/>
          <w:color w:val="333333"/>
          <w:sz w:val="32"/>
          <w:szCs w:val="32"/>
          <w:lang w:eastAsia="zh-CN"/>
        </w:rPr>
        <w:t>主动回应、</w:t>
      </w:r>
      <w:r>
        <w:rPr>
          <w:rFonts w:hint="eastAsia" w:ascii="仿宋_GB2312" w:hAnsi="仿宋" w:eastAsia="仿宋_GB2312"/>
          <w:color w:val="333333"/>
          <w:sz w:val="32"/>
          <w:szCs w:val="32"/>
          <w:shd w:val="clear" w:color="auto" w:fill="FFFFFF"/>
        </w:rPr>
        <w:t>招标采购、公开制度等方面。</w:t>
      </w:r>
      <w:r>
        <w:rPr>
          <w:rFonts w:hint="eastAsia" w:ascii="仿宋_GB2312" w:eastAsia="仿宋_GB2312"/>
          <w:color w:val="333333"/>
          <w:sz w:val="32"/>
          <w:szCs w:val="32"/>
        </w:rPr>
        <w:t>聚焦工业和信息化领域高质量发展目标，通过专题专栏等,精准解读南谯区加快制造业高质量发展推进工业强区若干政策实施细则(2022年度)等政策文件；</w:t>
      </w:r>
      <w:bookmarkStart w:id="2" w:name="OLE_LINK2"/>
      <w:r>
        <w:rPr>
          <w:rFonts w:hint="eastAsia" w:ascii="仿宋_GB2312" w:eastAsia="仿宋_GB2312"/>
          <w:color w:val="333333"/>
          <w:sz w:val="32"/>
          <w:szCs w:val="32"/>
        </w:rPr>
        <w:t>针对</w:t>
      </w:r>
      <w:bookmarkEnd w:id="2"/>
      <w:r>
        <w:rPr>
          <w:rFonts w:hint="eastAsia" w:ascii="仿宋_GB2312" w:eastAsia="仿宋_GB2312"/>
          <w:color w:val="333333"/>
          <w:sz w:val="32"/>
          <w:szCs w:val="32"/>
        </w:rPr>
        <w:t>企业奖励申报、精准扶贫、</w:t>
      </w:r>
      <w:r>
        <w:rPr>
          <w:rFonts w:hint="eastAsia" w:ascii="仿宋_GB2312" w:eastAsia="仿宋_GB2312"/>
          <w:color w:val="333333"/>
          <w:sz w:val="32"/>
          <w:szCs w:val="32"/>
          <w:lang w:eastAsia="zh-CN"/>
        </w:rPr>
        <w:t>项目申报</w:t>
      </w:r>
      <w:r>
        <w:rPr>
          <w:rFonts w:hint="eastAsia" w:ascii="仿宋_GB2312" w:eastAsia="仿宋_GB2312"/>
          <w:color w:val="333333"/>
          <w:sz w:val="32"/>
          <w:szCs w:val="32"/>
        </w:rPr>
        <w:t>等</w:t>
      </w:r>
      <w:r>
        <w:rPr>
          <w:rFonts w:hint="eastAsia" w:ascii="仿宋_GB2312" w:eastAsia="仿宋_GB2312"/>
          <w:color w:val="333333"/>
          <w:sz w:val="32"/>
          <w:szCs w:val="32"/>
          <w:shd w:val="clear" w:color="auto" w:fill="FFFFFF"/>
        </w:rPr>
        <w:t>方面信息</w:t>
      </w:r>
      <w:r>
        <w:rPr>
          <w:rFonts w:hint="eastAsia" w:ascii="仿宋_GB2312" w:hAnsi="仿宋" w:eastAsia="仿宋_GB2312"/>
          <w:color w:val="333333"/>
          <w:sz w:val="32"/>
          <w:szCs w:val="32"/>
          <w:shd w:val="clear" w:color="auto" w:fill="FFFFFF"/>
        </w:rPr>
        <w:t>及时向社会公布。</w:t>
      </w:r>
    </w:p>
    <w:p>
      <w:pPr>
        <w:pStyle w:val="5"/>
        <w:shd w:val="clear" w:color="auto" w:fill="FFFFFF"/>
        <w:spacing w:before="0" w:beforeAutospacing="0" w:after="0" w:afterAutospacing="0" w:line="600" w:lineRule="exact"/>
        <w:ind w:firstLine="643" w:firstLineChars="200"/>
        <w:jc w:val="both"/>
        <w:rPr>
          <w:rFonts w:ascii="仿宋_GB2312" w:eastAsia="仿宋_GB2312"/>
          <w:color w:val="333333"/>
          <w:sz w:val="32"/>
          <w:szCs w:val="32"/>
        </w:rPr>
      </w:pPr>
      <w:r>
        <w:rPr>
          <w:rFonts w:hint="eastAsia" w:ascii="楷体" w:hAnsi="楷体" w:eastAsia="楷体"/>
          <w:b/>
          <w:bCs/>
          <w:color w:val="333333"/>
          <w:sz w:val="32"/>
          <w:szCs w:val="32"/>
        </w:rPr>
        <w:t>（二）依申请公开方面。</w:t>
      </w:r>
      <w:r>
        <w:rPr>
          <w:rFonts w:hint="eastAsia" w:ascii="仿宋_GB2312" w:eastAsia="仿宋_GB2312"/>
          <w:color w:val="333333"/>
          <w:sz w:val="32"/>
          <w:szCs w:val="32"/>
        </w:rPr>
        <w:t>202</w:t>
      </w:r>
      <w:r>
        <w:rPr>
          <w:rFonts w:hint="eastAsia" w:ascii="仿宋_GB2312" w:eastAsia="仿宋_GB2312"/>
          <w:color w:val="333333"/>
          <w:sz w:val="32"/>
          <w:szCs w:val="32"/>
          <w:lang w:val="en-US" w:eastAsia="zh-CN"/>
        </w:rPr>
        <w:t>3</w:t>
      </w:r>
      <w:r>
        <w:rPr>
          <w:rFonts w:hint="eastAsia" w:ascii="仿宋_GB2312" w:eastAsia="仿宋_GB2312"/>
          <w:color w:val="333333"/>
          <w:sz w:val="32"/>
          <w:szCs w:val="32"/>
        </w:rPr>
        <w:t>年，我局全年未收到公民和法人提出的政府信息依申请公开申请事项。</w:t>
      </w:r>
    </w:p>
    <w:p>
      <w:pPr>
        <w:pStyle w:val="5"/>
        <w:shd w:val="clear" w:color="auto" w:fill="FFFFFF"/>
        <w:spacing w:before="0" w:beforeAutospacing="0" w:after="0" w:afterAutospacing="0" w:line="600" w:lineRule="exact"/>
        <w:ind w:firstLine="643" w:firstLineChars="200"/>
        <w:jc w:val="both"/>
        <w:rPr>
          <w:rFonts w:ascii="仿宋_GB2312" w:eastAsia="仿宋_GB2312"/>
          <w:color w:val="333333"/>
          <w:sz w:val="32"/>
          <w:szCs w:val="32"/>
        </w:rPr>
      </w:pPr>
      <w:r>
        <w:rPr>
          <w:rFonts w:hint="eastAsia" w:ascii="楷体" w:hAnsi="楷体" w:eastAsia="楷体"/>
          <w:b/>
          <w:bCs/>
          <w:color w:val="333333"/>
          <w:sz w:val="32"/>
          <w:szCs w:val="32"/>
        </w:rPr>
        <w:t>（三）政府信息管理。</w:t>
      </w:r>
      <w:r>
        <w:rPr>
          <w:rFonts w:hint="eastAsia" w:ascii="仿宋" w:hAnsi="仿宋" w:eastAsia="仿宋"/>
          <w:color w:val="333333"/>
          <w:sz w:val="32"/>
          <w:szCs w:val="32"/>
        </w:rPr>
        <w:t>严把文件公开关，规范性文件做到文号、成文日期、发布时间、有效性等信息齐全，同时注重信息公开质量，力求做到全面、准确、及时。</w:t>
      </w:r>
      <w:r>
        <w:rPr>
          <w:rFonts w:hint="eastAsia" w:ascii="仿宋" w:hAnsi="仿宋" w:eastAsia="仿宋"/>
          <w:color w:val="000000"/>
          <w:sz w:val="32"/>
          <w:szCs w:val="32"/>
          <w:shd w:val="clear" w:color="auto" w:fill="FFFFFF"/>
        </w:rPr>
        <w:t>进一步完善政务信息管理机制，先后建立完善政府信息公开保密审查制度，对拟公开的信息按照规定程序进行保密审查，未经审查的信息不得公开。</w:t>
      </w:r>
    </w:p>
    <w:p>
      <w:pPr>
        <w:pStyle w:val="5"/>
        <w:shd w:val="clear" w:color="auto" w:fill="FFFFFF"/>
        <w:spacing w:before="0" w:beforeAutospacing="0" w:after="0" w:afterAutospacing="0" w:line="600" w:lineRule="exact"/>
        <w:ind w:firstLine="643" w:firstLineChars="200"/>
        <w:jc w:val="both"/>
        <w:rPr>
          <w:rFonts w:ascii="仿宋" w:hAnsi="仿宋" w:eastAsia="仿宋"/>
          <w:color w:val="000000"/>
          <w:sz w:val="32"/>
          <w:szCs w:val="32"/>
          <w:shd w:val="clear" w:color="auto" w:fill="FFFFFF"/>
        </w:rPr>
      </w:pPr>
      <w:r>
        <w:rPr>
          <w:rFonts w:hint="eastAsia" w:ascii="楷体" w:hAnsi="楷体" w:eastAsia="楷体"/>
          <w:b/>
          <w:bCs/>
          <w:color w:val="333333"/>
          <w:sz w:val="32"/>
          <w:szCs w:val="32"/>
        </w:rPr>
        <w:t>（四）公开平台建设。</w:t>
      </w:r>
      <w:r>
        <w:rPr>
          <w:rFonts w:hint="eastAsia" w:ascii="仿宋_GB2312" w:eastAsia="仿宋_GB2312"/>
          <w:color w:val="000000"/>
          <w:sz w:val="32"/>
          <w:szCs w:val="32"/>
          <w:shd w:val="clear" w:color="auto" w:fill="FFFFFF"/>
        </w:rPr>
        <w:t>进一步加强</w:t>
      </w:r>
      <w:r>
        <w:rPr>
          <w:rFonts w:hint="eastAsia" w:ascii="仿宋" w:hAnsi="仿宋" w:eastAsia="仿宋"/>
          <w:color w:val="000000"/>
          <w:sz w:val="32"/>
          <w:szCs w:val="32"/>
          <w:shd w:val="clear" w:color="auto" w:fill="FFFFFF"/>
        </w:rPr>
        <w:t>政府网站集约化平</w:t>
      </w:r>
      <w:r>
        <w:rPr>
          <w:rFonts w:hint="eastAsia" w:ascii="仿宋_GB2312" w:eastAsia="仿宋_GB2312"/>
          <w:color w:val="000000"/>
          <w:sz w:val="32"/>
          <w:szCs w:val="32"/>
          <w:shd w:val="clear" w:color="auto" w:fill="FFFFFF"/>
        </w:rPr>
        <w:t>台管理，</w:t>
      </w:r>
      <w:r>
        <w:rPr>
          <w:rFonts w:hint="eastAsia" w:ascii="仿宋" w:hAnsi="仿宋" w:eastAsia="仿宋"/>
          <w:color w:val="000000"/>
          <w:sz w:val="32"/>
          <w:szCs w:val="32"/>
          <w:shd w:val="clear" w:color="auto" w:fill="FFFFFF"/>
        </w:rPr>
        <w:t>根据推进重点领域信息公开和基层政务公开标准化规范化的有关要求，及时升级信息公开平台功能，加强重点领域信息公开、贯彻落实政府信息公开条例等专题专栏建设优化展现方式，丰富公开内容。</w:t>
      </w:r>
    </w:p>
    <w:p>
      <w:pPr>
        <w:pStyle w:val="5"/>
        <w:shd w:val="clear" w:color="auto" w:fill="FFFFFF"/>
        <w:spacing w:before="0" w:beforeAutospacing="0" w:after="0" w:afterAutospacing="0" w:line="600" w:lineRule="exact"/>
        <w:ind w:firstLine="643" w:firstLineChars="200"/>
        <w:jc w:val="both"/>
        <w:rPr>
          <w:rFonts w:ascii="仿宋" w:hAnsi="仿宋" w:eastAsia="仿宋"/>
          <w:color w:val="333333"/>
          <w:sz w:val="32"/>
          <w:szCs w:val="32"/>
          <w:shd w:val="clear" w:color="auto" w:fill="FFFFFF"/>
        </w:rPr>
      </w:pPr>
      <w:r>
        <w:rPr>
          <w:rFonts w:hint="eastAsia" w:ascii="楷体" w:hAnsi="楷体" w:eastAsia="楷体"/>
          <w:b/>
          <w:bCs/>
          <w:color w:val="333333"/>
          <w:sz w:val="32"/>
          <w:szCs w:val="32"/>
        </w:rPr>
        <w:t>（五）监督保障。</w:t>
      </w:r>
      <w:r>
        <w:rPr>
          <w:rFonts w:hint="eastAsia" w:ascii="仿宋" w:hAnsi="仿宋" w:eastAsia="仿宋"/>
          <w:color w:val="333333"/>
          <w:sz w:val="32"/>
          <w:szCs w:val="32"/>
          <w:shd w:val="clear" w:color="auto" w:fill="FFFFFF"/>
        </w:rPr>
        <w:t>严格贯彻落实新修订的《中华人民共和国政府信息公开条例》，做好宣传培训。及时在南谯政务信息公开网上对我局网站运行、信息公开指南、信息发布实效等情况进行自查自纠。切实提高公开信息的质量和效率，做到依法依规、覆盖内容广泛、服务形式多样和服务标准规范，确保公民的知情权。进一步规范主动公开、依申请公开政府信息程序，确保政府信息公开的及时性、准确性、权威性和有效性，确保工作执行到位，确保信息公开及时，内容真实有效，确保信息管理常态化、高效化。</w:t>
      </w:r>
    </w:p>
    <w:p>
      <w:pPr>
        <w:pStyle w:val="5"/>
        <w:shd w:val="clear" w:color="auto" w:fill="FFFFFF"/>
        <w:spacing w:before="0" w:beforeAutospacing="0" w:after="0" w:afterAutospacing="0" w:line="600" w:lineRule="exact"/>
        <w:ind w:firstLine="643" w:firstLineChars="200"/>
        <w:jc w:val="both"/>
        <w:rPr>
          <w:rFonts w:ascii="黑体" w:hAnsi="黑体" w:eastAsia="黑体"/>
          <w:b/>
          <w:bCs/>
          <w:sz w:val="13"/>
          <w:szCs w:val="13"/>
        </w:rPr>
      </w:pPr>
      <w:r>
        <w:rPr>
          <w:rFonts w:hint="eastAsia" w:ascii="黑体" w:hAnsi="黑体" w:eastAsia="黑体"/>
          <w:b/>
          <w:bCs/>
          <w:sz w:val="32"/>
          <w:szCs w:val="32"/>
        </w:rPr>
        <w:t>二、主动公开政府信息情况</w:t>
      </w:r>
    </w:p>
    <w:tbl>
      <w:tblPr>
        <w:tblStyle w:val="6"/>
        <w:tblW w:w="8140" w:type="dxa"/>
        <w:jc w:val="center"/>
        <w:tblLayout w:type="fixed"/>
        <w:tblCellMar>
          <w:top w:w="0" w:type="dxa"/>
          <w:left w:w="0" w:type="dxa"/>
          <w:bottom w:w="0" w:type="dxa"/>
          <w:right w:w="0" w:type="dxa"/>
        </w:tblCellMar>
      </w:tblPr>
      <w:tblGrid>
        <w:gridCol w:w="3113"/>
        <w:gridCol w:w="1685"/>
        <w:gridCol w:w="1664"/>
        <w:gridCol w:w="1678"/>
      </w:tblGrid>
      <w:tr>
        <w:tblPrEx>
          <w:tblCellMar>
            <w:top w:w="0" w:type="dxa"/>
            <w:left w:w="0" w:type="dxa"/>
            <w:bottom w:w="0" w:type="dxa"/>
            <w:right w:w="0" w:type="dxa"/>
          </w:tblCellMar>
        </w:tblPrEx>
        <w:trPr>
          <w:trHeight w:val="482"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第二十条第（一）项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信息内容</w:t>
            </w:r>
          </w:p>
        </w:tc>
        <w:tc>
          <w:tcPr>
            <w:tcW w:w="16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本年制</w:t>
            </w:r>
            <w:r>
              <w:rPr>
                <w:rFonts w:hint="eastAsia" w:ascii="Calibri" w:hAnsi="宋体" w:eastAsia="宋体" w:cs="Times New Roman"/>
                <w:sz w:val="20"/>
                <w:szCs w:val="20"/>
              </w:rPr>
              <w:t>发件数</w:t>
            </w:r>
          </w:p>
        </w:tc>
        <w:tc>
          <w:tcPr>
            <w:tcW w:w="16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本年</w:t>
            </w:r>
            <w:r>
              <w:rPr>
                <w:rFonts w:hint="eastAsia" w:ascii="Calibri" w:hAnsi="宋体" w:eastAsia="宋体" w:cs="Times New Roman"/>
                <w:sz w:val="20"/>
                <w:szCs w:val="20"/>
              </w:rPr>
              <w:t>废止件数</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宋体" w:eastAsia="宋体" w:cs="Times New Roman"/>
                <w:sz w:val="20"/>
                <w:szCs w:val="20"/>
              </w:rPr>
              <w:t>现行有效件数</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宋体" w:eastAsia="宋体" w:cs="Times New Roman"/>
                <w:sz w:val="20"/>
                <w:szCs w:val="20"/>
              </w:rPr>
              <w:t>规章</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0"/>
                <w:szCs w:val="20"/>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0"/>
                <w:szCs w:val="20"/>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Calibri" w:eastAsia="宋体" w:cs="Times New Roman"/>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hint="eastAsia" w:ascii="Calibri" w:hAnsi="宋体" w:eastAsia="宋体" w:cs="Times New Roman"/>
                <w:sz w:val="20"/>
                <w:szCs w:val="20"/>
                <w:lang w:eastAsia="zh-CN"/>
              </w:rPr>
              <w:t>行政</w:t>
            </w:r>
            <w:bookmarkStart w:id="4" w:name="_GoBack"/>
            <w:bookmarkEnd w:id="4"/>
            <w:r>
              <w:rPr>
                <w:rFonts w:ascii="Calibri" w:hAnsi="宋体" w:eastAsia="宋体" w:cs="Times New Roman"/>
                <w:sz w:val="20"/>
                <w:szCs w:val="20"/>
              </w:rPr>
              <w:t>规范性文件</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hint="eastAsia" w:ascii="Calibri" w:hAnsi="Calibri" w:eastAsia="宋体" w:cs="Times New Roman"/>
                <w:sz w:val="20"/>
                <w:szCs w:val="20"/>
                <w:lang w:eastAsia="zh-CN"/>
              </w:rPr>
            </w:pPr>
            <w:r>
              <w:rPr>
                <w:rFonts w:hint="eastAsia" w:ascii="Calibri" w:hAnsi="Calibri" w:eastAsia="宋体" w:cs="Times New Roman"/>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第二十条第（五）项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adjustRightInd/>
              <w:snapToGrid/>
              <w:spacing w:after="0"/>
              <w:rPr>
                <w:rFonts w:ascii="Calibri" w:hAnsi="Calibri" w:eastAsia="宋体" w:cs="Times New Roman"/>
                <w:sz w:val="24"/>
                <w:szCs w:val="24"/>
              </w:rPr>
            </w:pPr>
            <w:r>
              <w:rPr>
                <w:rFonts w:ascii="Calibri" w:hAnsi="宋体" w:eastAsia="宋体" w:cs="Times New Roman"/>
                <w:sz w:val="20"/>
                <w:szCs w:val="20"/>
              </w:rPr>
              <w:t>行政许可</w:t>
            </w:r>
          </w:p>
        </w:tc>
        <w:tc>
          <w:tcPr>
            <w:tcW w:w="5027" w:type="dxa"/>
            <w:gridSpan w:val="3"/>
            <w:tcBorders>
              <w:top w:val="nil"/>
              <w:left w:val="nil"/>
              <w:bottom w:val="single" w:color="auto" w:sz="8" w:space="0"/>
              <w:right w:val="single" w:color="auto" w:sz="8" w:space="0"/>
            </w:tcBorders>
            <w:noWrap/>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第二十条第（六）项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adjustRightInd/>
              <w:snapToGrid/>
              <w:spacing w:after="0"/>
              <w:rPr>
                <w:rFonts w:ascii="Calibri" w:hAnsi="Calibri" w:eastAsia="宋体" w:cs="Times New Roman"/>
                <w:sz w:val="24"/>
                <w:szCs w:val="24"/>
              </w:rPr>
            </w:pPr>
            <w:r>
              <w:rPr>
                <w:rFonts w:ascii="Calibri" w:hAnsi="宋体" w:eastAsia="宋体" w:cs="Times New Roman"/>
                <w:sz w:val="20"/>
                <w:szCs w:val="20"/>
              </w:rPr>
              <w:t>行政处罚</w:t>
            </w:r>
          </w:p>
        </w:tc>
        <w:tc>
          <w:tcPr>
            <w:tcW w:w="5027" w:type="dxa"/>
            <w:gridSpan w:val="3"/>
            <w:tcBorders>
              <w:top w:val="nil"/>
              <w:left w:val="nil"/>
              <w:bottom w:val="single" w:color="auto" w:sz="8" w:space="0"/>
              <w:right w:val="single" w:color="auto" w:sz="8" w:space="0"/>
            </w:tcBorders>
            <w:noWrap/>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adjustRightInd/>
              <w:snapToGrid/>
              <w:spacing w:after="0"/>
              <w:rPr>
                <w:rFonts w:ascii="Calibri" w:hAnsi="Calibri" w:eastAsia="宋体" w:cs="Times New Roman"/>
                <w:sz w:val="24"/>
                <w:szCs w:val="24"/>
              </w:rPr>
            </w:pPr>
            <w:r>
              <w:rPr>
                <w:rFonts w:ascii="Calibri" w:hAnsi="宋体" w:eastAsia="宋体" w:cs="Times New Roman"/>
                <w:sz w:val="20"/>
                <w:szCs w:val="20"/>
              </w:rPr>
              <w:t>行政强制</w:t>
            </w:r>
          </w:p>
        </w:tc>
        <w:tc>
          <w:tcPr>
            <w:tcW w:w="5027" w:type="dxa"/>
            <w:gridSpan w:val="3"/>
            <w:tcBorders>
              <w:top w:val="nil"/>
              <w:left w:val="nil"/>
              <w:bottom w:val="single" w:color="auto" w:sz="8" w:space="0"/>
              <w:right w:val="single" w:color="auto" w:sz="8" w:space="0"/>
            </w:tcBorders>
            <w:noWrap/>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第二十条第（八）项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信息内容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宋体" w:eastAsia="宋体" w:cs="Times New Roman"/>
                <w:sz w:val="20"/>
                <w:szCs w:val="20"/>
              </w:rPr>
              <w:t>本年收费金额（单位：万元）</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宋体" w:eastAsia="宋体" w:cs="Times New Roman"/>
                <w:sz w:val="20"/>
                <w:szCs w:val="20"/>
              </w:rPr>
              <w:t>行政事业性收费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r>
    </w:tbl>
    <w:p>
      <w:pPr>
        <w:shd w:val="clear" w:color="auto" w:fill="FFFFFF"/>
        <w:adjustRightInd/>
        <w:snapToGrid/>
        <w:spacing w:after="0"/>
        <w:ind w:firstLine="480"/>
        <w:jc w:val="both"/>
        <w:rPr>
          <w:rFonts w:ascii="宋体" w:hAnsi="宋体" w:eastAsia="宋体" w:cs="宋体"/>
          <w:sz w:val="24"/>
          <w:szCs w:val="24"/>
        </w:rPr>
      </w:pPr>
    </w:p>
    <w:p>
      <w:pPr>
        <w:shd w:val="clear" w:color="auto" w:fill="FFFFFF"/>
        <w:adjustRightInd/>
        <w:snapToGrid/>
        <w:spacing w:after="240"/>
        <w:ind w:firstLine="480"/>
        <w:jc w:val="both"/>
        <w:rPr>
          <w:rFonts w:ascii="黑体" w:hAnsi="黑体" w:eastAsia="黑体" w:cs="宋体"/>
          <w:sz w:val="32"/>
          <w:szCs w:val="32"/>
        </w:rPr>
      </w:pPr>
      <w:r>
        <w:rPr>
          <w:rFonts w:hint="eastAsia" w:ascii="黑体" w:hAnsi="黑体" w:eastAsia="黑体" w:cs="宋体"/>
          <w:b/>
          <w:bCs/>
          <w:sz w:val="32"/>
          <w:szCs w:val="32"/>
        </w:rPr>
        <w:t>三、收到和处理政府信息公开申请情况</w:t>
      </w:r>
    </w:p>
    <w:tbl>
      <w:tblPr>
        <w:tblStyle w:val="6"/>
        <w:tblW w:w="9071" w:type="dxa"/>
        <w:jc w:val="center"/>
        <w:tblLayout w:type="fixed"/>
        <w:tblCellMar>
          <w:top w:w="0" w:type="dxa"/>
          <w:left w:w="0" w:type="dxa"/>
          <w:bottom w:w="0" w:type="dxa"/>
          <w:right w:w="0" w:type="dxa"/>
        </w:tblCellMar>
      </w:tblPr>
      <w:tblGrid>
        <w:gridCol w:w="494"/>
        <w:gridCol w:w="708"/>
        <w:gridCol w:w="2277"/>
        <w:gridCol w:w="825"/>
        <w:gridCol w:w="765"/>
        <w:gridCol w:w="765"/>
        <w:gridCol w:w="825"/>
        <w:gridCol w:w="903"/>
        <w:gridCol w:w="807"/>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825"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825"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社会公益组织</w:t>
            </w:r>
          </w:p>
        </w:tc>
        <w:tc>
          <w:tcPr>
            <w:tcW w:w="9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法律服务机构</w:t>
            </w:r>
          </w:p>
        </w:tc>
        <w:tc>
          <w:tcPr>
            <w:tcW w:w="8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r>
              <w:rPr>
                <w:rFonts w:ascii="Calibri" w:hAnsi="宋体" w:eastAsia="宋体" w:cs="Times New Roman"/>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r>
              <w:rPr>
                <w:rFonts w:ascii="Calibri" w:hAnsi="宋体" w:eastAsia="宋体" w:cs="Times New Roman"/>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r>
              <w:rPr>
                <w:rFonts w:ascii="Calibri" w:hAnsi="楷体" w:eastAsia="楷体" w:cs="Times New Roman"/>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985" w:type="dxa"/>
            <w:gridSpan w:val="2"/>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r>
              <w:rPr>
                <w:rFonts w:ascii="Calibri" w:hAnsi="楷体" w:eastAsia="楷体" w:cs="Times New Roman"/>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楷体" w:eastAsia="楷体" w:cs="Times New Roman"/>
                <w:sz w:val="20"/>
                <w:szCs w:val="20"/>
              </w:rPr>
              <w:t>（三）不予公开</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1.</w:t>
            </w:r>
            <w:r>
              <w:rPr>
                <w:rFonts w:ascii="Calibri" w:hAnsi="楷体" w:eastAsia="楷体" w:cs="Times New Roman"/>
                <w:sz w:val="20"/>
                <w:szCs w:val="20"/>
              </w:rPr>
              <w:t>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2.</w:t>
            </w:r>
            <w:r>
              <w:rPr>
                <w:rFonts w:ascii="Calibri" w:hAnsi="楷体" w:eastAsia="楷体" w:cs="Times New Roman"/>
                <w:sz w:val="20"/>
                <w:szCs w:val="20"/>
              </w:rPr>
              <w:t>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3.</w:t>
            </w:r>
            <w:r>
              <w:rPr>
                <w:rFonts w:ascii="Calibri" w:hAnsi="楷体" w:eastAsia="楷体" w:cs="Times New Roman"/>
                <w:sz w:val="20"/>
                <w:szCs w:val="20"/>
              </w:rPr>
              <w:t>危及</w:t>
            </w:r>
            <w:r>
              <w:rPr>
                <w:rFonts w:ascii="Calibri" w:hAnsi="Calibri" w:eastAsia="楷体" w:cs="Times New Roman"/>
                <w:sz w:val="20"/>
                <w:szCs w:val="20"/>
              </w:rPr>
              <w:t>“</w:t>
            </w:r>
            <w:r>
              <w:rPr>
                <w:rFonts w:ascii="Calibri" w:hAnsi="楷体" w:eastAsia="楷体" w:cs="Times New Roman"/>
                <w:sz w:val="20"/>
                <w:szCs w:val="20"/>
              </w:rPr>
              <w:t>三安全一稳定</w:t>
            </w:r>
            <w:r>
              <w:rPr>
                <w:rFonts w:ascii="Calibri" w:hAnsi="Calibri" w:eastAsia="楷体" w:cs="Times New Roman"/>
                <w:sz w:val="20"/>
                <w:szCs w:val="20"/>
              </w:rPr>
              <w:t>”</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4.</w:t>
            </w:r>
            <w:r>
              <w:rPr>
                <w:rFonts w:ascii="Calibri" w:hAnsi="楷体" w:eastAsia="楷体" w:cs="Times New Roman"/>
                <w:sz w:val="20"/>
                <w:szCs w:val="20"/>
              </w:rPr>
              <w:t>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5.</w:t>
            </w:r>
            <w:r>
              <w:rPr>
                <w:rFonts w:ascii="Calibri" w:hAnsi="楷体" w:eastAsia="楷体" w:cs="Times New Roman"/>
                <w:sz w:val="20"/>
                <w:szCs w:val="20"/>
              </w:rPr>
              <w:t>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trHeight w:val="519" w:hRule="atLeast"/>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6.</w:t>
            </w:r>
            <w:r>
              <w:rPr>
                <w:rFonts w:ascii="Calibri" w:hAnsi="楷体" w:eastAsia="楷体" w:cs="Times New Roman"/>
                <w:sz w:val="20"/>
                <w:szCs w:val="20"/>
              </w:rPr>
              <w:t>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7.</w:t>
            </w:r>
            <w:r>
              <w:rPr>
                <w:rFonts w:ascii="Calibri" w:hAnsi="楷体" w:eastAsia="楷体" w:cs="Times New Roman"/>
                <w:sz w:val="20"/>
                <w:szCs w:val="20"/>
              </w:rPr>
              <w:t>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8.</w:t>
            </w:r>
            <w:r>
              <w:rPr>
                <w:rFonts w:ascii="Calibri" w:hAnsi="楷体" w:eastAsia="楷体" w:cs="Times New Roman"/>
                <w:sz w:val="20"/>
                <w:szCs w:val="20"/>
              </w:rPr>
              <w:t>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楷体" w:eastAsia="楷体" w:cs="Times New Roman"/>
                <w:sz w:val="20"/>
                <w:szCs w:val="20"/>
              </w:rPr>
              <w:t>（四）无法提供</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1.</w:t>
            </w:r>
            <w:r>
              <w:rPr>
                <w:rFonts w:ascii="Calibri" w:hAnsi="楷体" w:eastAsia="楷体" w:cs="Times New Roman"/>
                <w:sz w:val="20"/>
                <w:szCs w:val="20"/>
              </w:rPr>
              <w:t>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2.</w:t>
            </w:r>
            <w:r>
              <w:rPr>
                <w:rFonts w:ascii="Calibri" w:hAnsi="楷体" w:eastAsia="楷体" w:cs="Times New Roman"/>
                <w:sz w:val="20"/>
                <w:szCs w:val="20"/>
              </w:rPr>
              <w:t>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3.</w:t>
            </w:r>
            <w:r>
              <w:rPr>
                <w:rFonts w:ascii="Calibri" w:hAnsi="楷体" w:eastAsia="楷体" w:cs="Times New Roman"/>
                <w:sz w:val="20"/>
                <w:szCs w:val="20"/>
              </w:rPr>
              <w:t>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楷体" w:eastAsia="楷体" w:cs="Times New Roman"/>
                <w:sz w:val="20"/>
                <w:szCs w:val="20"/>
              </w:rPr>
              <w:t>（五）不予处理</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1.</w:t>
            </w:r>
            <w:r>
              <w:rPr>
                <w:rFonts w:ascii="Calibri" w:hAnsi="楷体" w:eastAsia="楷体" w:cs="Times New Roman"/>
                <w:sz w:val="20"/>
                <w:szCs w:val="20"/>
              </w:rPr>
              <w:t>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2.</w:t>
            </w:r>
            <w:r>
              <w:rPr>
                <w:rFonts w:ascii="Calibri" w:hAnsi="楷体" w:eastAsia="楷体" w:cs="Times New Roman"/>
                <w:sz w:val="20"/>
                <w:szCs w:val="20"/>
              </w:rPr>
              <w:t>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3.</w:t>
            </w:r>
            <w:r>
              <w:rPr>
                <w:rFonts w:ascii="Calibri" w:hAnsi="楷体" w:eastAsia="楷体" w:cs="Times New Roman"/>
                <w:sz w:val="20"/>
                <w:szCs w:val="20"/>
              </w:rPr>
              <w:t>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4.</w:t>
            </w:r>
            <w:r>
              <w:rPr>
                <w:rFonts w:ascii="Calibri" w:hAnsi="楷体" w:eastAsia="楷体" w:cs="Times New Roman"/>
                <w:sz w:val="20"/>
                <w:szCs w:val="20"/>
              </w:rPr>
              <w:t>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Calibri" w:hAnsi="Calibri" w:eastAsia="宋体" w:cs="Times New Roman"/>
                <w:sz w:val="24"/>
                <w:szCs w:val="24"/>
              </w:rPr>
            </w:pPr>
            <w:r>
              <w:rPr>
                <w:rFonts w:ascii="Calibri" w:hAnsi="Calibri" w:eastAsia="楷体" w:cs="Times New Roman"/>
                <w:sz w:val="20"/>
                <w:szCs w:val="20"/>
              </w:rPr>
              <w:t>5.</w:t>
            </w:r>
            <w:r>
              <w:rPr>
                <w:rFonts w:ascii="Calibri" w:hAnsi="楷体" w:eastAsia="楷体" w:cs="Times New Roman"/>
                <w:sz w:val="20"/>
                <w:szCs w:val="20"/>
              </w:rPr>
              <w:t>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restart"/>
            <w:tcBorders>
              <w:top w:val="nil"/>
              <w:left w:val="nil"/>
              <w:right w:val="single" w:color="auto" w:sz="8" w:space="0"/>
            </w:tcBorders>
            <w:vAlign w:val="center"/>
          </w:tcPr>
          <w:p>
            <w:pPr>
              <w:adjustRightInd/>
              <w:snapToGrid/>
              <w:spacing w:after="0"/>
              <w:rPr>
                <w:rFonts w:ascii="Calibri" w:hAnsi="Calibri" w:eastAsia="宋体" w:cs="Times New Roman"/>
                <w:sz w:val="24"/>
                <w:szCs w:val="24"/>
              </w:rPr>
            </w:pPr>
            <w:r>
              <w:rPr>
                <w:rFonts w:ascii="Calibri" w:hAnsi="楷体" w:eastAsia="楷体" w:cs="Times New Roman"/>
                <w:sz w:val="20"/>
                <w:szCs w:val="20"/>
              </w:rPr>
              <w:t>（六）其他处理</w:t>
            </w:r>
          </w:p>
        </w:tc>
        <w:tc>
          <w:tcPr>
            <w:tcW w:w="2277" w:type="dxa"/>
            <w:tcBorders>
              <w:top w:val="nil"/>
              <w:left w:val="nil"/>
              <w:bottom w:val="single" w:color="auto" w:sz="8" w:space="0"/>
              <w:right w:val="single" w:color="auto" w:sz="8" w:space="0"/>
            </w:tcBorders>
            <w:vAlign w:val="center"/>
          </w:tcPr>
          <w:p>
            <w:pPr>
              <w:adjustRightInd/>
              <w:snapToGrid/>
              <w:spacing w:after="0"/>
              <w:rPr>
                <w:rFonts w:ascii="Calibri" w:hAnsi="楷体" w:eastAsia="楷体" w:cs="Times New Roman"/>
                <w:sz w:val="20"/>
                <w:szCs w:val="20"/>
              </w:rPr>
            </w:pPr>
            <w:r>
              <w:rPr>
                <w:rFonts w:hint="eastAsia" w:ascii="Calibri" w:hAnsi="楷体" w:eastAsia="楷体" w:cs="Times New Roman"/>
                <w:sz w:val="20"/>
                <w:szCs w:val="20"/>
              </w:rPr>
              <w:t>1.申请人无正当理由逾期不补正、行政机关不再处理其政府信息公开申请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left w:val="nil"/>
              <w:right w:val="single" w:color="auto" w:sz="8" w:space="0"/>
            </w:tcBorders>
            <w:vAlign w:val="center"/>
          </w:tcPr>
          <w:p>
            <w:pPr>
              <w:adjustRightInd/>
              <w:snapToGrid/>
              <w:spacing w:after="0"/>
              <w:rPr>
                <w:rFonts w:ascii="Calibri" w:hAnsi="楷体" w:eastAsia="楷体" w:cs="Times New Roman"/>
                <w:sz w:val="20"/>
                <w:szCs w:val="20"/>
              </w:rPr>
            </w:pPr>
          </w:p>
        </w:tc>
        <w:tc>
          <w:tcPr>
            <w:tcW w:w="2277" w:type="dxa"/>
            <w:tcBorders>
              <w:top w:val="nil"/>
              <w:left w:val="nil"/>
              <w:bottom w:val="single" w:color="auto" w:sz="8" w:space="0"/>
              <w:right w:val="single" w:color="auto" w:sz="8" w:space="0"/>
            </w:tcBorders>
            <w:vAlign w:val="center"/>
          </w:tcPr>
          <w:p>
            <w:pPr>
              <w:adjustRightInd/>
              <w:snapToGrid/>
              <w:spacing w:after="0"/>
              <w:rPr>
                <w:rFonts w:ascii="Calibri" w:hAnsi="楷体" w:eastAsia="楷体" w:cs="Times New Roman"/>
                <w:sz w:val="20"/>
                <w:szCs w:val="20"/>
              </w:rPr>
            </w:pPr>
            <w:r>
              <w:rPr>
                <w:rFonts w:hint="eastAsia" w:ascii="Calibri" w:hAnsi="楷体" w:eastAsia="楷体" w:cs="Times New Roman"/>
                <w:sz w:val="20"/>
                <w:szCs w:val="20"/>
              </w:rPr>
              <w:t>2.申请人逾期未按收费通知要求缴纳费用、行政机关不再处理其政府信息公开申请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708" w:type="dxa"/>
            <w:vMerge w:val="continue"/>
            <w:tcBorders>
              <w:left w:val="nil"/>
              <w:bottom w:val="single" w:color="auto" w:sz="8" w:space="0"/>
              <w:right w:val="single" w:color="auto" w:sz="8" w:space="0"/>
            </w:tcBorders>
            <w:vAlign w:val="center"/>
          </w:tcPr>
          <w:p>
            <w:pPr>
              <w:adjustRightInd/>
              <w:snapToGrid/>
              <w:spacing w:after="0"/>
              <w:rPr>
                <w:rFonts w:ascii="Calibri" w:hAnsi="楷体" w:eastAsia="楷体" w:cs="Times New Roman"/>
                <w:sz w:val="20"/>
                <w:szCs w:val="20"/>
              </w:rPr>
            </w:pPr>
          </w:p>
        </w:tc>
        <w:tc>
          <w:tcPr>
            <w:tcW w:w="2277" w:type="dxa"/>
            <w:tcBorders>
              <w:top w:val="nil"/>
              <w:left w:val="nil"/>
              <w:bottom w:val="single" w:color="auto" w:sz="8" w:space="0"/>
              <w:right w:val="single" w:color="auto" w:sz="8" w:space="0"/>
            </w:tcBorders>
            <w:vAlign w:val="center"/>
          </w:tcPr>
          <w:p>
            <w:pPr>
              <w:adjustRightInd/>
              <w:snapToGrid/>
              <w:spacing w:after="0"/>
              <w:rPr>
                <w:rFonts w:ascii="Calibri" w:hAnsi="楷体" w:eastAsia="楷体" w:cs="Times New Roman"/>
                <w:sz w:val="20"/>
                <w:szCs w:val="20"/>
              </w:rPr>
            </w:pPr>
            <w:r>
              <w:rPr>
                <w:rFonts w:hint="eastAsia" w:ascii="Calibri" w:hAnsi="楷体" w:eastAsia="楷体" w:cs="Times New Roman"/>
                <w:sz w:val="20"/>
                <w:szCs w:val="20"/>
              </w:rPr>
              <w:t>3.其他</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2985" w:type="dxa"/>
            <w:gridSpan w:val="2"/>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r>
              <w:rPr>
                <w:rFonts w:ascii="Calibri" w:hAnsi="楷体" w:eastAsia="楷体" w:cs="Times New Roman"/>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0"/>
                <w:szCs w:val="20"/>
              </w:rPr>
            </w:pPr>
            <w:r>
              <w:rPr>
                <w:rFonts w:hint="eastAsia" w:ascii="Calibri" w:hAnsi="Calibri" w:eastAsia="宋体" w:cs="Times New Roman"/>
                <w:sz w:val="20"/>
                <w:szCs w:val="20"/>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r>
        <w:tblPrEx>
          <w:tblCellMar>
            <w:top w:w="0" w:type="dxa"/>
            <w:left w:w="0" w:type="dxa"/>
            <w:bottom w:w="0" w:type="dxa"/>
            <w:right w:w="0" w:type="dxa"/>
          </w:tblCellMar>
        </w:tblPrEx>
        <w:trPr>
          <w:trHeight w:val="452" w:hRule="atLeast"/>
          <w:jc w:val="center"/>
        </w:trPr>
        <w:tc>
          <w:tcPr>
            <w:tcW w:w="3479" w:type="dxa"/>
            <w:gridSpan w:val="3"/>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r>
              <w:rPr>
                <w:rFonts w:ascii="Calibri" w:hAnsi="宋体" w:eastAsia="宋体" w:cs="Times New Roman"/>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tbl>
    <w:p>
      <w:pPr>
        <w:shd w:val="clear" w:color="auto" w:fill="FFFFFF"/>
        <w:adjustRightInd/>
        <w:snapToGrid/>
        <w:spacing w:after="0"/>
        <w:ind w:firstLine="643" w:firstLineChars="200"/>
        <w:jc w:val="both"/>
        <w:rPr>
          <w:rFonts w:ascii="黑体" w:hAnsi="黑体" w:eastAsia="黑体" w:cs="宋体"/>
          <w:b/>
          <w:bCs/>
          <w:sz w:val="32"/>
          <w:szCs w:val="32"/>
        </w:rPr>
      </w:pPr>
    </w:p>
    <w:p>
      <w:pPr>
        <w:shd w:val="clear" w:color="auto" w:fill="FFFFFF"/>
        <w:adjustRightInd/>
        <w:snapToGrid/>
        <w:spacing w:after="0"/>
        <w:ind w:firstLine="643" w:firstLineChars="200"/>
        <w:jc w:val="both"/>
        <w:rPr>
          <w:rFonts w:ascii="黑体" w:hAnsi="黑体" w:eastAsia="黑体" w:cs="宋体"/>
          <w:sz w:val="32"/>
          <w:szCs w:val="32"/>
        </w:rPr>
      </w:pPr>
      <w:r>
        <w:rPr>
          <w:rFonts w:hint="eastAsia" w:ascii="黑体" w:hAnsi="黑体" w:eastAsia="黑体" w:cs="宋体"/>
          <w:b/>
          <w:bCs/>
          <w:sz w:val="32"/>
          <w:szCs w:val="32"/>
        </w:rPr>
        <w:t>四、政府信息公开行政复议、行政诉讼情况</w:t>
      </w:r>
    </w:p>
    <w:p>
      <w:pPr>
        <w:shd w:val="clear" w:color="auto" w:fill="FFFFFF"/>
        <w:adjustRightInd/>
        <w:snapToGrid/>
        <w:spacing w:after="0"/>
        <w:ind w:firstLine="480"/>
        <w:jc w:val="both"/>
        <w:rPr>
          <w:rFonts w:ascii="宋体" w:hAnsi="宋体" w:eastAsia="宋体" w:cs="宋体"/>
          <w:sz w:val="24"/>
          <w:szCs w:val="24"/>
        </w:rPr>
      </w:pP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bookmarkStart w:id="3" w:name="OLE_LINK4"/>
            <w:r>
              <w:rPr>
                <w:rFonts w:ascii="Calibri" w:hAnsi="宋体" w:eastAsia="宋体" w:cs="Times New Roman"/>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0" w:type="auto"/>
            <w:vMerge w:val="continue"/>
            <w:tcBorders>
              <w:top w:val="nil"/>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Calibri" w:hAnsi="Calibri" w:eastAsia="宋体" w:cs="Times New Roman"/>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ascii="Calibri" w:hAnsi="宋体" w:eastAsia="宋体" w:cs="Times New Roman"/>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Calibri" w:hAnsi="Calibri" w:eastAsia="宋体" w:cs="Times New Roman"/>
                <w:sz w:val="24"/>
                <w:szCs w:val="24"/>
              </w:rPr>
            </w:pPr>
            <w:r>
              <w:rPr>
                <w:rFonts w:hint="eastAsia" w:ascii="Calibri" w:hAnsi="Calibri" w:eastAsia="宋体" w:cs="Times New Roman"/>
                <w:sz w:val="24"/>
                <w:szCs w:val="24"/>
              </w:rPr>
              <w:t>0</w:t>
            </w:r>
          </w:p>
        </w:tc>
      </w:tr>
      <w:bookmarkEnd w:id="3"/>
    </w:tbl>
    <w:p>
      <w:pPr>
        <w:widowControl w:val="0"/>
        <w:adjustRightInd/>
        <w:snapToGrid/>
        <w:spacing w:after="0"/>
        <w:jc w:val="both"/>
        <w:rPr>
          <w:rFonts w:ascii="仿宋_GB2312" w:eastAsia="仿宋_GB2312" w:hAnsiTheme="minorHAnsi"/>
          <w:kern w:val="2"/>
          <w:sz w:val="32"/>
          <w:szCs w:val="32"/>
        </w:rPr>
      </w:pPr>
    </w:p>
    <w:p>
      <w:pPr>
        <w:widowControl w:val="0"/>
        <w:adjustRightInd/>
        <w:snapToGrid/>
        <w:spacing w:after="0" w:line="600" w:lineRule="exact"/>
        <w:ind w:firstLine="643" w:firstLineChars="200"/>
        <w:jc w:val="both"/>
        <w:rPr>
          <w:rFonts w:ascii="黑体" w:hAnsi="黑体" w:eastAsia="黑体"/>
          <w:b/>
          <w:bCs/>
          <w:color w:val="333333"/>
          <w:kern w:val="2"/>
          <w:sz w:val="32"/>
          <w:szCs w:val="32"/>
        </w:rPr>
      </w:pPr>
      <w:r>
        <w:rPr>
          <w:rFonts w:hint="eastAsia" w:ascii="黑体" w:eastAsia="黑体" w:hAnsiTheme="minorHAnsi"/>
          <w:b/>
          <w:bCs/>
          <w:color w:val="333333"/>
          <w:kern w:val="2"/>
          <w:sz w:val="32"/>
          <w:szCs w:val="32"/>
        </w:rPr>
        <w:t> </w:t>
      </w:r>
      <w:r>
        <w:rPr>
          <w:rFonts w:hint="eastAsia" w:ascii="黑体" w:hAnsi="黑体" w:eastAsia="黑体"/>
          <w:b/>
          <w:bCs/>
          <w:color w:val="333333"/>
          <w:kern w:val="2"/>
          <w:sz w:val="32"/>
          <w:szCs w:val="32"/>
        </w:rPr>
        <w:t>五、存在的主要问题及改进情况</w:t>
      </w:r>
    </w:p>
    <w:p>
      <w:pPr>
        <w:widowControl w:val="0"/>
        <w:adjustRightInd/>
        <w:snapToGrid/>
        <w:spacing w:after="0" w:line="600" w:lineRule="exact"/>
        <w:ind w:firstLine="640" w:firstLineChars="200"/>
        <w:jc w:val="both"/>
        <w:rPr>
          <w:rFonts w:ascii="仿宋_GB2312" w:hAnsi="仿宋" w:eastAsia="仿宋_GB2312"/>
          <w:color w:val="333333"/>
          <w:kern w:val="2"/>
          <w:sz w:val="32"/>
          <w:szCs w:val="32"/>
          <w:shd w:val="clear" w:color="auto" w:fill="FFFFFF"/>
        </w:rPr>
      </w:pPr>
      <w:r>
        <w:rPr>
          <w:rFonts w:hint="eastAsia" w:ascii="仿宋_GB2312" w:hAnsi="仿宋" w:eastAsia="仿宋_GB2312"/>
          <w:color w:val="333333"/>
          <w:kern w:val="2"/>
          <w:sz w:val="32"/>
          <w:szCs w:val="32"/>
          <w:shd w:val="clear" w:color="auto" w:fill="FFFFFF"/>
        </w:rPr>
        <w:t>（一）存在问题</w:t>
      </w:r>
    </w:p>
    <w:p>
      <w:pPr>
        <w:widowControl w:val="0"/>
        <w:adjustRightInd/>
        <w:snapToGrid/>
        <w:spacing w:after="0" w:line="600" w:lineRule="exact"/>
        <w:ind w:firstLine="640" w:firstLineChars="200"/>
        <w:jc w:val="both"/>
        <w:rPr>
          <w:rFonts w:hint="eastAsia" w:ascii="仿宋_GB2312" w:hAnsi="仿宋" w:eastAsia="仿宋_GB2312"/>
          <w:b/>
          <w:color w:val="333333"/>
          <w:kern w:val="2"/>
          <w:sz w:val="32"/>
          <w:szCs w:val="32"/>
          <w:shd w:val="clear" w:color="auto" w:fill="FFFFFF"/>
          <w:lang w:eastAsia="zh-CN"/>
        </w:rPr>
      </w:pPr>
      <w:r>
        <w:rPr>
          <w:rFonts w:hint="eastAsia" w:ascii="仿宋_GB2312" w:hAnsi="仿宋" w:eastAsia="仿宋_GB2312"/>
          <w:color w:val="333333"/>
          <w:kern w:val="2"/>
          <w:sz w:val="32"/>
          <w:szCs w:val="32"/>
          <w:shd w:val="clear" w:color="auto" w:fill="FFFFFF"/>
        </w:rPr>
        <w:t>202</w:t>
      </w:r>
      <w:r>
        <w:rPr>
          <w:rFonts w:hint="eastAsia" w:ascii="仿宋_GB2312" w:hAnsi="仿宋" w:eastAsia="仿宋_GB2312"/>
          <w:color w:val="333333"/>
          <w:kern w:val="2"/>
          <w:sz w:val="32"/>
          <w:szCs w:val="32"/>
          <w:shd w:val="clear" w:color="auto" w:fill="FFFFFF"/>
          <w:lang w:val="en-US" w:eastAsia="zh-CN"/>
        </w:rPr>
        <w:t>3</w:t>
      </w:r>
      <w:r>
        <w:rPr>
          <w:rFonts w:hint="eastAsia" w:ascii="仿宋_GB2312" w:hAnsi="仿宋" w:eastAsia="仿宋_GB2312"/>
          <w:color w:val="333333"/>
          <w:kern w:val="2"/>
          <w:sz w:val="32"/>
          <w:szCs w:val="32"/>
          <w:shd w:val="clear" w:color="auto" w:fill="FFFFFF"/>
        </w:rPr>
        <w:t>年，按照区委、区政府的工作部署认真开展政府信息公开工作，政府信息公开工作总体上不断得到完善，但也存在以下问题：</w:t>
      </w:r>
      <w:r>
        <w:rPr>
          <w:rFonts w:hint="eastAsia" w:ascii="仿宋_GB2312" w:hAnsi="仿宋" w:eastAsia="仿宋_GB2312"/>
          <w:b/>
          <w:color w:val="333333"/>
          <w:kern w:val="2"/>
          <w:sz w:val="32"/>
          <w:szCs w:val="32"/>
          <w:shd w:val="clear" w:color="auto" w:fill="FFFFFF"/>
        </w:rPr>
        <w:t>一是</w:t>
      </w:r>
      <w:r>
        <w:rPr>
          <w:rFonts w:hint="eastAsia" w:ascii="仿宋_GB2312" w:hAnsi="仿宋" w:eastAsia="仿宋_GB2312"/>
          <w:color w:val="333333"/>
          <w:kern w:val="2"/>
          <w:sz w:val="32"/>
          <w:szCs w:val="32"/>
          <w:shd w:val="clear" w:color="auto" w:fill="FFFFFF"/>
        </w:rPr>
        <w:t>主动公开的信息内容不够全面，信息时效性还有待提高</w:t>
      </w:r>
      <w:r>
        <w:rPr>
          <w:rFonts w:hint="eastAsia" w:ascii="仿宋_GB2312" w:hAnsi="仿宋" w:eastAsia="仿宋_GB2312"/>
          <w:color w:val="333333"/>
          <w:kern w:val="2"/>
          <w:sz w:val="32"/>
          <w:szCs w:val="32"/>
          <w:shd w:val="clear" w:color="auto" w:fill="FFFFFF"/>
          <w:lang w:eastAsia="zh-CN"/>
        </w:rPr>
        <w:t>：</w:t>
      </w:r>
      <w:r>
        <w:rPr>
          <w:rFonts w:hint="eastAsia" w:ascii="仿宋_GB2312" w:hAnsi="仿宋" w:eastAsia="仿宋_GB2312"/>
          <w:b/>
          <w:color w:val="333333"/>
          <w:kern w:val="2"/>
          <w:sz w:val="32"/>
          <w:szCs w:val="32"/>
          <w:shd w:val="clear" w:color="auto" w:fill="FFFFFF"/>
        </w:rPr>
        <w:t>二是</w:t>
      </w:r>
      <w:r>
        <w:rPr>
          <w:rFonts w:hint="eastAsia" w:ascii="仿宋_GB2312" w:hAnsi="仿宋" w:eastAsia="仿宋_GB2312"/>
          <w:color w:val="333333"/>
          <w:kern w:val="2"/>
          <w:sz w:val="32"/>
          <w:szCs w:val="32"/>
          <w:shd w:val="clear" w:color="auto" w:fill="FFFFFF"/>
        </w:rPr>
        <w:t>政策解读方式和形式单一，解读效果不够丰富和生动灵活</w:t>
      </w:r>
      <w:r>
        <w:rPr>
          <w:rFonts w:hint="eastAsia" w:ascii="仿宋_GB2312" w:hAnsi="仿宋" w:eastAsia="仿宋_GB2312"/>
          <w:color w:val="333333"/>
          <w:kern w:val="2"/>
          <w:sz w:val="32"/>
          <w:szCs w:val="32"/>
          <w:shd w:val="clear" w:color="auto" w:fill="FFFFFF"/>
          <w:lang w:eastAsia="zh-CN"/>
        </w:rPr>
        <w:t>。</w:t>
      </w:r>
    </w:p>
    <w:p>
      <w:pPr>
        <w:widowControl w:val="0"/>
        <w:adjustRightInd/>
        <w:snapToGrid/>
        <w:spacing w:after="0" w:line="600" w:lineRule="exact"/>
        <w:ind w:firstLine="640" w:firstLineChars="200"/>
        <w:jc w:val="both"/>
        <w:rPr>
          <w:rFonts w:ascii="仿宋_GB2312" w:hAnsi="仿宋" w:eastAsia="仿宋_GB2312"/>
          <w:color w:val="333333"/>
          <w:kern w:val="2"/>
          <w:sz w:val="32"/>
          <w:szCs w:val="32"/>
          <w:shd w:val="clear" w:color="auto" w:fill="FFFFFF"/>
        </w:rPr>
      </w:pPr>
      <w:r>
        <w:rPr>
          <w:rFonts w:hint="eastAsia" w:ascii="仿宋_GB2312" w:hAnsi="仿宋" w:eastAsia="仿宋_GB2312"/>
          <w:color w:val="333333"/>
          <w:kern w:val="2"/>
          <w:sz w:val="32"/>
          <w:szCs w:val="32"/>
          <w:shd w:val="clear" w:color="auto" w:fill="FFFFFF"/>
        </w:rPr>
        <w:t>（二）改进措施</w:t>
      </w:r>
    </w:p>
    <w:p>
      <w:pPr>
        <w:widowControl w:val="0"/>
        <w:adjustRightInd/>
        <w:snapToGrid/>
        <w:spacing w:after="0" w:line="600" w:lineRule="exact"/>
        <w:ind w:firstLine="640" w:firstLineChars="200"/>
        <w:jc w:val="both"/>
        <w:rPr>
          <w:rFonts w:ascii="仿宋_GB2312" w:hAnsi="仿宋" w:eastAsia="仿宋_GB2312"/>
          <w:color w:val="333333"/>
          <w:kern w:val="2"/>
          <w:sz w:val="32"/>
          <w:szCs w:val="32"/>
          <w:shd w:val="clear" w:color="auto" w:fill="FFFFFF"/>
        </w:rPr>
      </w:pPr>
      <w:r>
        <w:rPr>
          <w:rFonts w:hint="eastAsia" w:ascii="仿宋_GB2312" w:hAnsi="仿宋" w:eastAsia="仿宋_GB2312"/>
          <w:color w:val="333333"/>
          <w:kern w:val="2"/>
          <w:sz w:val="32"/>
          <w:szCs w:val="32"/>
          <w:shd w:val="clear" w:color="auto" w:fill="FFFFFF"/>
        </w:rPr>
        <w:t>一是要加强平台建设。按照标准化要求细化栏目、任务，按照公开目录设置事项，分解到具体科室科室承办，进一步明确工作责任，做到应公开尽公开；二是要丰富解读形式，采取图文结合、动漫展示、音视频解读等多种形式，让群众对政策理解更直观，让人民群众“看得懂、听得懂”；三是加强业务培训，深入领悟省、市政务公开相关工作要求，努力提高政务信息公开工作水平。</w:t>
      </w:r>
    </w:p>
    <w:p>
      <w:pPr>
        <w:widowControl w:val="0"/>
        <w:adjustRightInd/>
        <w:snapToGrid/>
        <w:spacing w:after="0" w:line="600" w:lineRule="exact"/>
        <w:ind w:firstLine="640" w:firstLineChars="200"/>
        <w:jc w:val="both"/>
        <w:rPr>
          <w:rFonts w:ascii="黑体" w:hAnsi="黑体" w:eastAsia="黑体"/>
          <w:kern w:val="2"/>
          <w:sz w:val="32"/>
          <w:szCs w:val="32"/>
        </w:rPr>
      </w:pPr>
      <w:r>
        <w:rPr>
          <w:rFonts w:hint="eastAsia" w:ascii="黑体" w:hAnsi="黑体" w:eastAsia="黑体" w:cs="黑体"/>
          <w:color w:val="000000"/>
          <w:sz w:val="32"/>
          <w:szCs w:val="32"/>
          <w:shd w:val="clear" w:color="auto" w:fill="FFFFFF"/>
        </w:rPr>
        <w:t>六、其他需要报告的事项</w:t>
      </w:r>
    </w:p>
    <w:p>
      <w:pPr>
        <w:spacing w:line="600" w:lineRule="exact"/>
        <w:ind w:firstLine="640" w:firstLineChars="200"/>
        <w:rPr>
          <w:rFonts w:ascii="仿宋_GB2312" w:hAnsi="仿宋" w:eastAsia="仿宋_GB2312"/>
          <w:color w:val="333333"/>
          <w:kern w:val="2"/>
          <w:sz w:val="32"/>
          <w:szCs w:val="32"/>
          <w:shd w:val="clear" w:color="auto" w:fill="FFFFFF"/>
        </w:rPr>
      </w:pPr>
      <w:r>
        <w:rPr>
          <w:rFonts w:hint="eastAsia" w:ascii="仿宋_GB2312" w:hAnsi="仿宋" w:eastAsia="仿宋_GB2312"/>
          <w:color w:val="333333"/>
          <w:kern w:val="2"/>
          <w:sz w:val="32"/>
          <w:szCs w:val="32"/>
          <w:shd w:val="clear" w:color="auto" w:fill="FFFFFF"/>
        </w:rPr>
        <w:t>按照《国务院办公厅关于印发〈政府信息公开信息处理费管理办法〉的通知》(国办函〔2020]109号）规定的按件、按量收费标准，本年度我单位没有产生信息公开处理费。</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hint="eastAsia" w:ascii="仿宋_GB2312" w:hAnsi="仿宋" w:eastAsia="仿宋_GB2312"/>
          <w:color w:val="333333"/>
          <w:kern w:val="2"/>
          <w:sz w:val="32"/>
          <w:szCs w:val="32"/>
          <w:shd w:val="clear" w:color="auto" w:fill="FFFFFF"/>
        </w:rPr>
        <w:t>南谯区经济和信息化局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年1月</w:t>
      </w:r>
      <w:r>
        <w:rPr>
          <w:rFonts w:hint="eastAsia" w:ascii="仿宋_GB2312" w:eastAsia="仿宋_GB2312"/>
          <w:sz w:val="32"/>
          <w:szCs w:val="32"/>
          <w:lang w:val="en-US" w:eastAsia="zh-CN"/>
        </w:rPr>
        <w:t>25</w:t>
      </w:r>
      <w:r>
        <w:rPr>
          <w:rFonts w:hint="eastAsia" w:ascii="仿宋_GB2312" w:eastAsia="仿宋_GB2312"/>
          <w:sz w:val="32"/>
          <w:szCs w:val="32"/>
        </w:rPr>
        <w:t>日</w:t>
      </w:r>
      <w:bookmarkEnd w:id="0"/>
      <w:bookmarkEnd w:id="1"/>
    </w:p>
    <w:sectPr>
      <w:pgSz w:w="11906" w:h="16838"/>
      <w:pgMar w:top="1440" w:right="1758" w:bottom="1440" w:left="175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NTA3NWJlYTI4OWMzNzIwMjA3MWI5Y2I5MTEwNzk5YzYifQ=="/>
  </w:docVars>
  <w:rsids>
    <w:rsidRoot w:val="00D31D50"/>
    <w:rsid w:val="00075332"/>
    <w:rsid w:val="000A2F92"/>
    <w:rsid w:val="000B5987"/>
    <w:rsid w:val="000B5F45"/>
    <w:rsid w:val="001F5C92"/>
    <w:rsid w:val="00312F26"/>
    <w:rsid w:val="0032327C"/>
    <w:rsid w:val="00323B43"/>
    <w:rsid w:val="003C1687"/>
    <w:rsid w:val="003C762A"/>
    <w:rsid w:val="003D30C4"/>
    <w:rsid w:val="003D37D8"/>
    <w:rsid w:val="003D793B"/>
    <w:rsid w:val="00417212"/>
    <w:rsid w:val="00426133"/>
    <w:rsid w:val="004358AB"/>
    <w:rsid w:val="0047752E"/>
    <w:rsid w:val="0048059C"/>
    <w:rsid w:val="00492B9C"/>
    <w:rsid w:val="004A19D5"/>
    <w:rsid w:val="004C17B8"/>
    <w:rsid w:val="004E6A2E"/>
    <w:rsid w:val="00531885"/>
    <w:rsid w:val="005374AD"/>
    <w:rsid w:val="005901A7"/>
    <w:rsid w:val="00655717"/>
    <w:rsid w:val="00663C87"/>
    <w:rsid w:val="0066759C"/>
    <w:rsid w:val="006A013A"/>
    <w:rsid w:val="006E5C06"/>
    <w:rsid w:val="0074317C"/>
    <w:rsid w:val="00751047"/>
    <w:rsid w:val="00831256"/>
    <w:rsid w:val="008B7726"/>
    <w:rsid w:val="009F7E7C"/>
    <w:rsid w:val="00A26E74"/>
    <w:rsid w:val="00A5129B"/>
    <w:rsid w:val="00A52A8E"/>
    <w:rsid w:val="00AA21E8"/>
    <w:rsid w:val="00B201F5"/>
    <w:rsid w:val="00C100E0"/>
    <w:rsid w:val="00C55E8D"/>
    <w:rsid w:val="00C64ED5"/>
    <w:rsid w:val="00CF0C82"/>
    <w:rsid w:val="00D31D50"/>
    <w:rsid w:val="00DA31A7"/>
    <w:rsid w:val="00DB3C12"/>
    <w:rsid w:val="00E3489F"/>
    <w:rsid w:val="00E86FBE"/>
    <w:rsid w:val="00F169E1"/>
    <w:rsid w:val="00F23145"/>
    <w:rsid w:val="00F37D8D"/>
    <w:rsid w:val="00F76D46"/>
    <w:rsid w:val="2AFF7D6E"/>
    <w:rsid w:val="63866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semiHidden/>
    <w:unhideWhenUsed/>
    <w:qFormat/>
    <w:uiPriority w:val="99"/>
    <w:pPr>
      <w:tabs>
        <w:tab w:val="center" w:pos="4153"/>
        <w:tab w:val="right" w:pos="8306"/>
      </w:tabs>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Hyperlink"/>
    <w:basedOn w:val="7"/>
    <w:autoRedefine/>
    <w:semiHidden/>
    <w:unhideWhenUsed/>
    <w:qFormat/>
    <w:uiPriority w:val="99"/>
    <w:rPr>
      <w:color w:val="0000FF"/>
      <w:u w:val="single"/>
    </w:rPr>
  </w:style>
  <w:style w:type="character" w:customStyle="1" w:styleId="9">
    <w:name w:val="页眉 Char"/>
    <w:basedOn w:val="7"/>
    <w:link w:val="4"/>
    <w:autoRedefine/>
    <w:semiHidden/>
    <w:qFormat/>
    <w:uiPriority w:val="99"/>
    <w:rPr>
      <w:rFonts w:ascii="Tahoma" w:hAnsi="Tahoma"/>
      <w:sz w:val="18"/>
      <w:szCs w:val="18"/>
    </w:rPr>
  </w:style>
  <w:style w:type="character" w:customStyle="1" w:styleId="10">
    <w:name w:val="页脚 Char"/>
    <w:basedOn w:val="7"/>
    <w:link w:val="3"/>
    <w:autoRedefine/>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1510</Words>
  <Characters>1510</Characters>
  <Lines>1510</Lines>
  <Paragraphs>754</Paragraphs>
  <TotalTime>6</TotalTime>
  <ScaleCrop>false</ScaleCrop>
  <LinksUpToDate>false</LinksUpToDate>
  <CharactersWithSpaces>2266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璐瑶</cp:lastModifiedBy>
  <cp:lastPrinted>2021-01-15T08:04:00Z</cp:lastPrinted>
  <dcterms:modified xsi:type="dcterms:W3CDTF">2024-02-23T07:49:12Z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BB6FF29116E344D4A6543575BD52DE93_12</vt:lpwstr>
  </property>
</Properties>
</file>