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滁州市南谯区林业局2023年度政府信息公开工作年度报告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由滁州市南谯区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林业局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2023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日起至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2023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12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31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日止。本报告以网上公开的形式进行公布。如对本报告有任何疑问，请与滁州市南谯区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林业局办公室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联系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（地址：南谯区政务新区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号楼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323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室，电话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:0550-3023875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，邮箱：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nqqlyhylj@163.com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）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（</w:t>
      </w: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一）主动公开。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8F8F8"/>
          <w:lang w:val="en-US" w:eastAsia="zh-CN" w:bidi="ar"/>
        </w:rPr>
        <w:t>2023年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我局主动公开政府信息共计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127条。及时发布工作动态，重点公开决策部署落实情况、财政资金、行政权力运行等63条。规范政策解读，根据政策文件，采用图片解读、问答解读等丰富解读形式，发布政策解读6条。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（二）依申请公开。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8F8F8"/>
          <w:lang w:val="en-US" w:eastAsia="zh-CN" w:bidi="ar"/>
        </w:rPr>
        <w:t>完善依申请公开审核、责任追究等工作制度，明确相关股室在政府信息依申请公开的工作职责。2023年未收到依申请公开的内容。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321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（三）政府信息管理。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8F8F8"/>
          <w:lang w:val="en-US" w:eastAsia="zh-CN" w:bidi="ar"/>
        </w:rPr>
        <w:t>我局着力提升政府信息公开质量，加强政府信息公开发布的力度和时效，对照《中华人民共和国政府信息公开条例》，扎实开展政府信息公开工作。对信息公开前进行“三审”、严把“六关”，做到先审后发，规范信息公开流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（四）政府信息公开平台建设。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8F8F8"/>
          <w:lang w:val="en-US" w:eastAsia="zh-CN" w:bidi="ar"/>
        </w:rPr>
        <w:t>对于政府网站集约化平台，我局加强其管理力度，优化发布内容的布局与质量。同时，积极做好《中华人民共和国森林法》等法律法规的宣传推广，并确保工作动态的及时更新。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8F8F8"/>
          <w:lang w:val="en-US" w:eastAsia="zh-CN" w:bidi="ar"/>
        </w:rPr>
      </w:pPr>
      <w:r>
        <w:rPr>
          <w:rFonts w:hint="default" w:ascii="楷体_GB2312" w:hAnsi="Times New Roman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（五）监督保障。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8F8F8"/>
          <w:lang w:val="en-US" w:eastAsia="zh-CN" w:bidi="ar"/>
        </w:rPr>
        <w:t>强化工作考核，落实信息公开任务，细化责任分工，提高信息公开工作，并按照县直单位信息公开工作考核指标与标准完成各项工作。由办公室专人负责政务公开信息发布，协调各大队所室密切配合，确保政务公开工作任务落地、责任到人。加强对各单位政府信息公开工作的日常指导，严格落实政府信息公开工作责任追究暂行办法，同时设立公开监督举报电0550-3023875，在规范性文件意见征集等重要事项接受社会公众、人大代表、政协委员监督。2023年我局未发生政府信息公开工作责任追究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3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8F8F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二、主动公开政府信息情况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tbl>
      <w:tblPr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三、收到和处理政府信息公开申请情况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tbl>
      <w:tblPr>
        <w:tblW w:w="907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816"/>
        <w:gridCol w:w="2235"/>
        <w:gridCol w:w="815"/>
        <w:gridCol w:w="757"/>
        <w:gridCol w:w="757"/>
        <w:gridCol w:w="815"/>
        <w:gridCol w:w="891"/>
        <w:gridCol w:w="798"/>
        <w:gridCol w:w="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危及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三安全一稳定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”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tbl>
      <w:tblPr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一是政策解读有差距。政策解读形式单一，多为文字解读。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二是涉及社会热点、群众关切的信息公开不全面。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信息公开的工作人员的业务素质和能力还需要进一步提高。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8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下一步，对政策解读结合生成图表图解、简明问答、短视频等形式解读，多维度延伸解读触角。对涉及社会热点、群众关切的信息全面公开。同时抓好政务公开培训工作，组织多层次、多形式地学习。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8F8F8"/>
          <w:lang w:val="en-US" w:eastAsia="zh-CN" w:bidi="ar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lZWQ5MWEzNDc4ZjlhNjc4MjcwMDQ3NjJlYjhmYzQifQ=="/>
  </w:docVars>
  <w:rsids>
    <w:rsidRoot w:val="015D0F9C"/>
    <w:rsid w:val="015D0F9C"/>
    <w:rsid w:val="1C741E37"/>
    <w:rsid w:val="7D5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2024-03-18T09:33:00Z</dcterms:created>
  <dc:creator>南谯</dc:creator>
  <cp:lastModifiedBy>南谯</cp:lastModifiedBy>
  <dcterms:modified xsi:type="dcterms:W3CDTF">2024-03-18T09:34:56Z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613A637C59CB45679DD1360CD666575D_11</vt:lpwstr>
  </property>
</Properties>
</file>