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</w:pPr>
      <w:bookmarkStart w:id="0" w:name="_GoBack"/>
      <w:r>
        <w:rPr>
          <w:rFonts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滁州市南谯区章广镇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2023年度政府信息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公开工作年度报告</w:t>
      </w:r>
    </w:p>
    <w:bookmarkEnd w:id="0"/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left"/>
        <w:textAlignment w:val="auto"/>
      </w:pPr>
      <w:r>
        <w:rPr>
          <w:rFonts w:ascii="仿宋_GB2312" w:eastAsia="仿宋_GB2312" w:cs="仿宋_GB2312" w:hAnsiTheme="minorHAnsi"/>
          <w:kern w:val="2"/>
          <w:sz w:val="30"/>
          <w:szCs w:val="30"/>
          <w:lang w:val="en-US" w:eastAsia="zh-CN" w:bidi="ar"/>
        </w:rPr>
        <w:t>本报告是《中华人民共和国政府信息公开条例》确立的法定制度安排，按照《中华人民共和国政府信息公开工作年度报告格式》要求，</w:t>
      </w:r>
      <w:r>
        <w:rPr>
          <w:rFonts w:hint="eastAsia" w:ascii="仿宋_GB2312" w:eastAsia="仿宋_GB2312" w:cs="仿宋_GB2312" w:hAnsiTheme="minorHAnsi"/>
          <w:kern w:val="2"/>
          <w:sz w:val="30"/>
          <w:szCs w:val="30"/>
          <w:lang w:val="en-US" w:eastAsia="zh-CN" w:bidi="ar"/>
        </w:rPr>
        <w:t>由滁州市南谯区章广镇编制。本报告主要由总体情况，主动公开政府信息情况，收到和处理政府信息公开申请情况，政府信息公开行政复议、行政诉讼情况，存在的主要问题及改进情况，其他需要报告的事项等部分组成。本报告中所列数据的统计期限自202</w:t>
      </w:r>
      <w:r>
        <w:rPr>
          <w:rFonts w:hint="eastAsia" w:ascii="仿宋_GB2312" w:eastAsia="仿宋_GB2312" w:cs="仿宋_GB2312"/>
          <w:kern w:val="2"/>
          <w:sz w:val="30"/>
          <w:szCs w:val="30"/>
          <w:lang w:val="en-US" w:eastAsia="zh-CN" w:bidi="ar"/>
        </w:rPr>
        <w:t>3</w:t>
      </w:r>
      <w:r>
        <w:rPr>
          <w:rFonts w:hint="eastAsia" w:ascii="仿宋_GB2312" w:eastAsia="仿宋_GB2312" w:cs="仿宋_GB2312" w:hAnsiTheme="minorHAnsi"/>
          <w:kern w:val="2"/>
          <w:sz w:val="30"/>
          <w:szCs w:val="30"/>
          <w:lang w:val="en-US" w:eastAsia="zh-CN" w:bidi="ar"/>
        </w:rPr>
        <w:t>年1月1日起至202</w:t>
      </w:r>
      <w:r>
        <w:rPr>
          <w:rFonts w:hint="eastAsia" w:ascii="仿宋_GB2312" w:eastAsia="仿宋_GB2312" w:cs="仿宋_GB2312"/>
          <w:kern w:val="2"/>
          <w:sz w:val="30"/>
          <w:szCs w:val="30"/>
          <w:lang w:val="en-US" w:eastAsia="zh-CN" w:bidi="ar"/>
        </w:rPr>
        <w:t>3</w:t>
      </w:r>
      <w:r>
        <w:rPr>
          <w:rFonts w:hint="eastAsia" w:ascii="仿宋_GB2312" w:eastAsia="仿宋_GB2312" w:cs="仿宋_GB2312" w:hAnsiTheme="minorHAnsi"/>
          <w:kern w:val="2"/>
          <w:sz w:val="30"/>
          <w:szCs w:val="30"/>
          <w:lang w:val="en-US" w:eastAsia="zh-CN" w:bidi="ar"/>
        </w:rPr>
        <w:t>年12月31日止。本报告以网上公开的形式进行公布。如对本报告有任何疑问，请与滁州市南谯区章广镇联系（地址：章广镇府前路1号，电话:3800294，邮箱：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instrText xml:space="preserve"> HYPERLINK "mailto:1038331383@qq.com" </w:instrTex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hint="eastAsia" w:ascii="仿宋_GB2312" w:eastAsia="仿宋_GB2312" w:cs="仿宋_GB2312"/>
          <w:color w:val="0000FF"/>
          <w:sz w:val="30"/>
          <w:szCs w:val="30"/>
          <w:u w:val="single"/>
        </w:rPr>
        <w:t>1038331383@qq.com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仿宋_GB2312" w:eastAsia="仿宋_GB2312" w:cs="仿宋_GB2312" w:hAnsiTheme="minorHAnsi"/>
          <w:kern w:val="2"/>
          <w:sz w:val="30"/>
          <w:szCs w:val="30"/>
          <w:lang w:val="en-US" w:eastAsia="zh-CN" w:bidi="ar"/>
        </w:rPr>
        <w:t xml:space="preserve">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left"/>
        <w:textAlignment w:val="auto"/>
      </w:pPr>
      <w:r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19" w:firstLineChars="139"/>
        <w:jc w:val="left"/>
        <w:textAlignment w:val="auto"/>
        <w:rPr>
          <w:rFonts w:hint="default" w:ascii="楷体_GB2312" w:eastAsia="楷体_GB2312" w:cs="楷体_GB2312" w:hAnsiTheme="minorHAnsi"/>
          <w:b/>
          <w:bCs/>
          <w:kern w:val="2"/>
          <w:sz w:val="30"/>
          <w:szCs w:val="30"/>
          <w:lang w:val="en-US" w:eastAsia="zh-CN" w:bidi="ar"/>
        </w:rPr>
      </w:pPr>
      <w:r>
        <w:rPr>
          <w:rFonts w:ascii="楷体_GB2312" w:eastAsia="楷体_GB2312" w:cs="楷体_GB2312" w:hAnsiTheme="minorHAnsi"/>
          <w:b/>
          <w:bCs/>
          <w:kern w:val="2"/>
          <w:sz w:val="30"/>
          <w:szCs w:val="30"/>
          <w:lang w:val="en-US" w:eastAsia="zh-CN" w:bidi="ar"/>
        </w:rPr>
        <w:t>（</w:t>
      </w:r>
      <w:r>
        <w:rPr>
          <w:rFonts w:hint="default" w:ascii="楷体_GB2312" w:eastAsia="楷体_GB2312" w:cs="楷体_GB2312" w:hAnsiTheme="minorHAnsi"/>
          <w:b/>
          <w:bCs/>
          <w:kern w:val="2"/>
          <w:sz w:val="30"/>
          <w:szCs w:val="30"/>
          <w:lang w:val="en-US" w:eastAsia="zh-CN" w:bidi="ar"/>
        </w:rPr>
        <w:t>一）主动公开。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jc w:val="left"/>
        <w:textAlignment w:val="auto"/>
      </w:pPr>
      <w:r>
        <w:rPr>
          <w:rFonts w:hint="eastAsia" w:ascii="仿宋_GB2312" w:hAnsi="Calibri" w:eastAsia="仿宋_GB2312" w:cs="仿宋_GB2312"/>
          <w:kern w:val="2"/>
          <w:sz w:val="30"/>
          <w:szCs w:val="30"/>
          <w:lang w:val="en-US" w:eastAsia="zh-CN" w:bidi="ar"/>
        </w:rPr>
        <w:t>2023年，在区委、区政府的正确领导下，我镇认真贯彻落实《中华人民共和国政府信息公开条例》，指定专人具体负责政务公开内容维护、组织协调等日常工作，认真执行信息审核发布制度，努力做到公开的内容更加充实、公开的时间更加及时、公开重点更加突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19" w:firstLineChars="139"/>
        <w:jc w:val="left"/>
        <w:textAlignment w:val="auto"/>
      </w:pPr>
      <w:r>
        <w:rPr>
          <w:rFonts w:hint="default" w:ascii="楷体_GB2312" w:eastAsia="楷体_GB2312" w:cs="楷体_GB2312" w:hAnsiTheme="minorHAnsi"/>
          <w:b/>
          <w:bCs/>
          <w:kern w:val="2"/>
          <w:sz w:val="30"/>
          <w:szCs w:val="30"/>
          <w:lang w:val="en-US" w:eastAsia="zh-CN" w:bidi="ar"/>
        </w:rPr>
        <w:t>（二）依申请公开。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left"/>
        <w:textAlignment w:val="auto"/>
      </w:pPr>
      <w:r>
        <w:rPr>
          <w:rFonts w:hint="eastAsia" w:ascii="仿宋_GB2312" w:hAnsi="Calibri" w:eastAsia="仿宋_GB2312" w:cs="仿宋_GB2312"/>
          <w:kern w:val="2"/>
          <w:sz w:val="30"/>
          <w:szCs w:val="30"/>
          <w:lang w:val="en-US" w:eastAsia="zh-CN" w:bidi="ar"/>
        </w:rPr>
        <w:t>2023年1月至12月，本镇共收到政府信息公开依申请办理0件。全年无信息公开举报、复议和诉讼等情形。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19" w:firstLineChars="139"/>
        <w:jc w:val="left"/>
        <w:textAlignment w:val="auto"/>
      </w:pPr>
      <w:r>
        <w:rPr>
          <w:rFonts w:hint="default" w:ascii="楷体_GB2312" w:eastAsia="楷体_GB2312" w:cs="楷体_GB2312" w:hAnsiTheme="minorHAnsi"/>
          <w:b/>
          <w:bCs/>
          <w:kern w:val="2"/>
          <w:sz w:val="30"/>
          <w:szCs w:val="30"/>
          <w:lang w:val="en-US" w:eastAsia="zh-CN" w:bidi="ar"/>
        </w:rPr>
        <w:t>（三）政府信息管理。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left"/>
        <w:textAlignment w:val="auto"/>
        <w:rPr>
          <w:rFonts w:hint="eastAsia" w:ascii="仿宋_GB2312" w:hAnsi="Calibri" w:eastAsia="仿宋_GB2312" w:cs="仿宋_GB2312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2"/>
          <w:sz w:val="30"/>
          <w:szCs w:val="30"/>
          <w:lang w:val="en-US" w:eastAsia="zh-CN" w:bidi="ar"/>
        </w:rPr>
        <w:t>严格落实信息公开审查制度，加强信息发布前审核，确保发布的信息规范、及时、完整、正确。积极推进行政规范性文件更新与清理工作。2023年度我镇未发现有泄密、泄漏个人隐私等情况发生。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19" w:firstLineChars="139"/>
        <w:jc w:val="left"/>
        <w:textAlignment w:val="auto"/>
      </w:pPr>
      <w:r>
        <w:rPr>
          <w:rFonts w:hint="default" w:ascii="楷体_GB2312" w:eastAsia="楷体_GB2312" w:cs="楷体_GB2312" w:hAnsiTheme="minorHAnsi"/>
          <w:b/>
          <w:bCs/>
          <w:kern w:val="2"/>
          <w:sz w:val="30"/>
          <w:szCs w:val="30"/>
          <w:lang w:val="en-US" w:eastAsia="zh-CN" w:bidi="ar"/>
        </w:rPr>
        <w:t>（四）政府信息公开平台建设。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00" w:firstLineChars="200"/>
        <w:jc w:val="left"/>
        <w:textAlignment w:val="auto"/>
        <w:rPr>
          <w:rFonts w:hint="eastAsia" w:ascii="仿宋_GB2312" w:hAnsi="Calibri" w:eastAsia="仿宋_GB2312" w:cs="仿宋_GB2312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2"/>
          <w:sz w:val="30"/>
          <w:szCs w:val="30"/>
          <w:lang w:val="en-US" w:eastAsia="zh-CN" w:bidi="ar"/>
        </w:rPr>
        <w:t>我镇积极推进政府信息平台建设，认真落实区政府2023年政务公开要点，由专人负责日常管理和维护，按上级要求能及时发布转载相关信息，正面引导舆论，确保权威信息准确传播。目前，我镇暂未开设政务新媒体账号、微信公众号等信息公开平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19" w:firstLineChars="139"/>
        <w:jc w:val="left"/>
        <w:textAlignment w:val="auto"/>
      </w:pPr>
      <w:r>
        <w:rPr>
          <w:rFonts w:hint="default" w:ascii="楷体_GB2312" w:eastAsia="楷体_GB2312" w:cs="楷体_GB2312" w:hAnsiTheme="minorHAnsi"/>
          <w:b/>
          <w:bCs/>
          <w:kern w:val="2"/>
          <w:sz w:val="30"/>
          <w:szCs w:val="30"/>
          <w:lang w:val="en-US" w:eastAsia="zh-CN" w:bidi="ar"/>
        </w:rPr>
        <w:t>（五）监督保障。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left"/>
        <w:textAlignment w:val="auto"/>
        <w:rPr>
          <w:rFonts w:hint="default"/>
          <w:color w:val="0000FF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0"/>
          <w:szCs w:val="30"/>
          <w:lang w:val="en-US" w:eastAsia="zh-CN" w:bidi="ar"/>
        </w:rPr>
        <w:t>为加强和完善政府信息公开制度建设工作，制定了信息公开指南，明确信息公开职责、程序和时限等要求，形成了统一的信息公开工作管理体系，使得信息公开工作更加规范。并把政务公开纳入2023年度政府目标工作考核，同时建立社会评议制度和责任追究制度。本年度未发生责任追究情况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left"/>
        <w:textAlignment w:val="auto"/>
      </w:pPr>
      <w:r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  <w:t>二、主动公开政府信息情况</w:t>
      </w:r>
    </w:p>
    <w:tbl>
      <w:tblPr>
        <w:tblStyle w:val="3"/>
        <w:tblW w:w="8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685"/>
        <w:gridCol w:w="1664"/>
        <w:gridCol w:w="1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1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</w:pPr>
      <w:r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  <w:t>三、收到和处理政府信息公开申请情况</w:t>
      </w:r>
    </w:p>
    <w:tbl>
      <w:tblPr>
        <w:tblStyle w:val="3"/>
        <w:tblpPr w:leftFromText="180" w:rightFromText="180" w:vertAnchor="text" w:horzAnchor="page" w:tblpX="1771" w:tblpY="603"/>
        <w:tblOverlap w:val="never"/>
        <w:tblW w:w="90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708"/>
        <w:gridCol w:w="2277"/>
        <w:gridCol w:w="825"/>
        <w:gridCol w:w="765"/>
        <w:gridCol w:w="765"/>
        <w:gridCol w:w="825"/>
        <w:gridCol w:w="903"/>
        <w:gridCol w:w="807"/>
        <w:gridCol w:w="7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楷体" w:cs="Times New Roman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楷体" w:cs="Times New Roman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楷体" w:cs="Times New Roman"/>
                <w:kern w:val="0"/>
                <w:sz w:val="20"/>
                <w:szCs w:val="20"/>
                <w:lang w:val="en-US" w:eastAsia="zh-CN" w:bidi="ar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危及</w:t>
            </w:r>
            <w:r>
              <w:rPr>
                <w:rFonts w:hint="default" w:ascii="Calibri" w:hAnsi="Calibri" w:eastAsia="楷体" w:cs="Calibri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三安全一稳定</w:t>
            </w:r>
            <w:r>
              <w:rPr>
                <w:rFonts w:hint="default" w:ascii="Calibri" w:hAnsi="Calibri" w:eastAsia="楷体" w:cs="Calibri"/>
                <w:kern w:val="0"/>
                <w:sz w:val="20"/>
                <w:szCs w:val="20"/>
                <w:lang w:val="en-US" w:eastAsia="zh-CN" w:bidi="ar"/>
              </w:rPr>
              <w:t>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楷体" w:cs="Times New Roman"/>
                <w:kern w:val="0"/>
                <w:sz w:val="20"/>
                <w:szCs w:val="20"/>
                <w:lang w:val="en-US" w:eastAsia="zh-CN" w:bidi="ar"/>
              </w:rPr>
              <w:t>4.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楷体" w:cs="Times New Roman"/>
                <w:kern w:val="0"/>
                <w:sz w:val="20"/>
                <w:szCs w:val="20"/>
                <w:lang w:val="en-US" w:eastAsia="zh-CN" w:bidi="ar"/>
              </w:rPr>
              <w:t>5.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楷体" w:cs="Times New Roman"/>
                <w:kern w:val="0"/>
                <w:sz w:val="20"/>
                <w:szCs w:val="20"/>
                <w:lang w:val="en-US" w:eastAsia="zh-CN" w:bidi="ar"/>
              </w:rPr>
              <w:t>6.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楷体" w:cs="Times New Roman"/>
                <w:kern w:val="0"/>
                <w:sz w:val="20"/>
                <w:szCs w:val="20"/>
                <w:lang w:val="en-US" w:eastAsia="zh-CN" w:bidi="ar"/>
              </w:rPr>
              <w:t>7.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楷体" w:cs="Times New Roman"/>
                <w:kern w:val="0"/>
                <w:sz w:val="20"/>
                <w:szCs w:val="20"/>
                <w:lang w:val="en-US" w:eastAsia="zh-CN" w:bidi="ar"/>
              </w:rPr>
              <w:t>8.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楷体" w:cs="Times New Roman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楷体" w:cs="Times New Roman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楷体" w:cs="Times New Roman"/>
                <w:kern w:val="0"/>
                <w:sz w:val="20"/>
                <w:szCs w:val="20"/>
                <w:lang w:val="en-US" w:eastAsia="zh-CN" w:bidi="ar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楷体" w:cs="Times New Roman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楷体" w:cs="Times New Roman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楷体" w:cs="Times New Roman"/>
                <w:kern w:val="0"/>
                <w:sz w:val="20"/>
                <w:szCs w:val="20"/>
                <w:lang w:val="en-US" w:eastAsia="zh-CN" w:bidi="ar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楷体" w:cs="Times New Roman"/>
                <w:kern w:val="0"/>
                <w:sz w:val="20"/>
                <w:szCs w:val="20"/>
                <w:lang w:val="en-US" w:eastAsia="zh-CN" w:bidi="ar"/>
              </w:rPr>
              <w:t>4.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楷体" w:cs="Times New Roman"/>
                <w:kern w:val="0"/>
                <w:sz w:val="20"/>
                <w:szCs w:val="20"/>
                <w:lang w:val="en-US" w:eastAsia="zh-CN" w:bidi="ar"/>
              </w:rPr>
              <w:t>5.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楷体" w:cs="Calibri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申请人无正当理由逾期不补正、行政机关不再处理其政府信息公开申请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楷体" w:cs="Calibri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申请人逾期未按收费通知要求缴纳费用、行政机关不再处理其政府信息公开申请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楷体" w:cs="Calibri"/>
                <w:kern w:val="0"/>
                <w:sz w:val="20"/>
                <w:szCs w:val="20"/>
                <w:lang w:val="en-US" w:eastAsia="zh-CN" w:bidi="ar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Autospacing="0" w:line="240" w:lineRule="auto"/>
        <w:ind w:left="0" w:right="0"/>
        <w:jc w:val="both"/>
        <w:textAlignment w:val="auto"/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="0" w:afterAutospacing="0" w:line="560" w:lineRule="exact"/>
        <w:ind w:left="0" w:right="0"/>
        <w:jc w:val="left"/>
        <w:textAlignment w:val="auto"/>
      </w:pPr>
      <w:r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  <w:t>四、政府信息公开行政复议、行政诉讼情况</w:t>
      </w:r>
    </w:p>
    <w:tbl>
      <w:tblPr>
        <w:tblStyle w:val="3"/>
        <w:tblpPr w:leftFromText="180" w:rightFromText="180" w:vertAnchor="text" w:horzAnchor="page" w:tblpX="1621" w:tblpY="564"/>
        <w:tblOverlap w:val="never"/>
        <w:tblW w:w="90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16" w:firstLineChars="139"/>
        <w:jc w:val="left"/>
        <w:textAlignment w:val="auto"/>
      </w:pPr>
      <w:r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</w:pPr>
      <w:r>
        <w:rPr>
          <w:rFonts w:hint="eastAsia" w:ascii="仿宋_GB2312" w:hAnsi="Calibri" w:eastAsia="仿宋_GB2312" w:cs="仿宋_GB2312"/>
          <w:kern w:val="2"/>
          <w:sz w:val="30"/>
          <w:szCs w:val="30"/>
          <w:shd w:val="clear" w:fill="FFFFFF"/>
        </w:rPr>
        <w:t>202</w:t>
      </w:r>
      <w:r>
        <w:rPr>
          <w:rFonts w:hint="eastAsia" w:ascii="仿宋_GB2312" w:hAnsi="Calibri" w:eastAsia="仿宋_GB2312" w:cs="仿宋_GB2312"/>
          <w:kern w:val="2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_GB2312" w:hAnsi="Calibri" w:eastAsia="仿宋_GB2312" w:cs="仿宋_GB2312"/>
          <w:kern w:val="2"/>
          <w:sz w:val="30"/>
          <w:szCs w:val="30"/>
          <w:shd w:val="clear" w:fill="FFFFFF"/>
        </w:rPr>
        <w:t>年，我镇政府信息公开工作总体运行较好，但仍然存在一些问题。一是政策解读的质量还不够高；</w:t>
      </w:r>
      <w:r>
        <w:rPr>
          <w:rFonts w:hint="eastAsia" w:ascii="仿宋_GB2312" w:hAnsi="Calibri" w:eastAsia="仿宋_GB2312" w:cs="仿宋_GB2312"/>
          <w:kern w:val="2"/>
          <w:sz w:val="30"/>
          <w:szCs w:val="30"/>
          <w:shd w:val="clear" w:fill="FFFFFF"/>
          <w:lang w:val="en-US" w:eastAsia="zh-CN"/>
        </w:rPr>
        <w:t>二</w:t>
      </w:r>
      <w:r>
        <w:rPr>
          <w:rFonts w:hint="eastAsia" w:ascii="仿宋_GB2312" w:hAnsi="Calibri" w:eastAsia="仿宋_GB2312" w:cs="仿宋_GB2312"/>
          <w:kern w:val="2"/>
          <w:sz w:val="30"/>
          <w:szCs w:val="30"/>
          <w:shd w:val="clear" w:fill="FFFFFF"/>
        </w:rPr>
        <w:t>是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信息更新的频次还需提高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Calibri" w:eastAsia="仿宋_GB2312" w:cs="仿宋_GB2312"/>
          <w:kern w:val="2"/>
          <w:sz w:val="30"/>
          <w:szCs w:val="30"/>
          <w:shd w:val="clear" w:fill="FFFFFF"/>
        </w:rPr>
        <w:t>公开内容还不够全面。就以上问题，202</w:t>
      </w:r>
      <w:r>
        <w:rPr>
          <w:rFonts w:hint="eastAsia" w:ascii="仿宋_GB2312" w:hAnsi="Calibri" w:eastAsia="仿宋_GB2312" w:cs="仿宋_GB2312"/>
          <w:kern w:val="2"/>
          <w:sz w:val="30"/>
          <w:szCs w:val="30"/>
          <w:shd w:val="clear" w:fill="FFFFFF"/>
          <w:lang w:val="en-US" w:eastAsia="zh-CN"/>
        </w:rPr>
        <w:t>4</w:t>
      </w:r>
      <w:r>
        <w:rPr>
          <w:rFonts w:hint="eastAsia" w:ascii="仿宋_GB2312" w:hAnsi="Calibri" w:eastAsia="仿宋_GB2312" w:cs="仿宋_GB2312"/>
          <w:kern w:val="2"/>
          <w:sz w:val="30"/>
          <w:szCs w:val="30"/>
          <w:shd w:val="clear" w:fill="FFFFFF"/>
        </w:rPr>
        <w:t>年我镇政府信息公开工作将着重抓好以下</w:t>
      </w:r>
      <w:r>
        <w:rPr>
          <w:rFonts w:hint="eastAsia" w:ascii="仿宋_GB2312" w:hAnsi="Calibri" w:eastAsia="仿宋_GB2312" w:cs="仿宋_GB2312"/>
          <w:kern w:val="2"/>
          <w:sz w:val="30"/>
          <w:szCs w:val="30"/>
          <w:shd w:val="clear" w:fill="FFFFFF"/>
          <w:lang w:val="en-US" w:eastAsia="zh-CN"/>
        </w:rPr>
        <w:t>两</w:t>
      </w:r>
      <w:r>
        <w:rPr>
          <w:rFonts w:hint="eastAsia" w:ascii="仿宋_GB2312" w:hAnsi="Calibri" w:eastAsia="仿宋_GB2312" w:cs="仿宋_GB2312"/>
          <w:kern w:val="2"/>
          <w:sz w:val="30"/>
          <w:szCs w:val="30"/>
          <w:shd w:val="clear" w:fill="FFFFFF"/>
        </w:rPr>
        <w:t>个方面的工作：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Calibri" w:eastAsia="仿宋_GB2312" w:cs="仿宋_GB2312"/>
          <w:kern w:val="2"/>
          <w:sz w:val="30"/>
          <w:szCs w:val="30"/>
          <w:shd w:val="clear" w:fill="FFFFFF"/>
          <w:lang w:eastAsia="zh-CN"/>
        </w:rPr>
      </w:pPr>
      <w:r>
        <w:rPr>
          <w:rFonts w:hint="eastAsia" w:ascii="仿宋_GB2312" w:hAnsi="Calibri" w:eastAsia="仿宋_GB2312" w:cs="仿宋_GB2312"/>
          <w:kern w:val="2"/>
          <w:sz w:val="30"/>
          <w:szCs w:val="30"/>
          <w:shd w:val="clear" w:fill="FFFFFF"/>
          <w:lang w:val="en-US" w:eastAsia="zh-CN"/>
        </w:rPr>
        <w:t>一</w:t>
      </w:r>
      <w:r>
        <w:rPr>
          <w:rFonts w:hint="eastAsia" w:ascii="仿宋_GB2312" w:hAnsi="Calibri" w:eastAsia="仿宋_GB2312" w:cs="仿宋_GB2312"/>
          <w:kern w:val="2"/>
          <w:sz w:val="30"/>
          <w:szCs w:val="30"/>
          <w:shd w:val="clear" w:fill="FFFFFF"/>
        </w:rPr>
        <w:t>是积极探索多样化政策解读，不断丰富解读材料形式，探索通过音频、图文、动漫等方式进行政策解读，提高解读质量，增强政策解读的实效。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Calibri" w:eastAsia="仿宋_GB2312" w:cs="仿宋_GB2312"/>
          <w:kern w:val="2"/>
          <w:sz w:val="30"/>
          <w:szCs w:val="30"/>
          <w:shd w:val="clear" w:fill="FFFFFF"/>
        </w:rPr>
      </w:pPr>
      <w:r>
        <w:rPr>
          <w:rFonts w:hint="eastAsia" w:ascii="仿宋_GB2312" w:hAnsi="Calibri" w:eastAsia="仿宋_GB2312" w:cs="仿宋_GB2312"/>
          <w:kern w:val="2"/>
          <w:sz w:val="30"/>
          <w:szCs w:val="30"/>
          <w:shd w:val="clear" w:fill="FFFFFF"/>
          <w:lang w:val="en-US" w:eastAsia="zh-CN"/>
        </w:rPr>
        <w:t>二</w:t>
      </w:r>
      <w:r>
        <w:rPr>
          <w:rFonts w:hint="eastAsia" w:ascii="仿宋_GB2312" w:hAnsi="Calibri" w:eastAsia="仿宋_GB2312" w:cs="仿宋_GB2312"/>
          <w:kern w:val="2"/>
          <w:sz w:val="30"/>
          <w:szCs w:val="30"/>
          <w:shd w:val="clear" w:fill="FFFFFF"/>
        </w:rPr>
        <w:t>是不断充实和完善信息公开内容，确保信息公开及时、准确、完整，增强政府信息发布主动性、权威性和时效性。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16" w:firstLineChars="139"/>
        <w:jc w:val="left"/>
        <w:textAlignment w:val="auto"/>
      </w:pPr>
      <w:r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</w:pPr>
      <w:r>
        <w:rPr>
          <w:rFonts w:hint="eastAsia" w:ascii="仿宋_GB2312" w:hAnsi="Calibri" w:eastAsia="仿宋_GB2312" w:cs="仿宋_GB2312"/>
          <w:kern w:val="2"/>
          <w:sz w:val="30"/>
          <w:szCs w:val="30"/>
          <w:lang w:val="en-US" w:eastAsia="zh-CN" w:bidi="ar"/>
        </w:rPr>
        <w:t>按照《国务院办公厅关于印发&lt;政府信息公开信息处理费管理办法&gt;的通知》（国办函〔2020〕109号）规定的按件、按量收费标准，本年度没有产生信息公开处理费。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mNmIyYzEyNDM4ZTBjYmQ2MDFlNTEzNzY4Y2MyNmYifQ=="/>
  </w:docVars>
  <w:rsids>
    <w:rsidRoot w:val="01197035"/>
    <w:rsid w:val="01197035"/>
    <w:rsid w:val="4E846318"/>
    <w:rsid w:val="61F912D7"/>
    <w:rsid w:val="761A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2024-01-18T07:16:00Z</dcterms:created>
  <dc:creator>刘义友</dc:creator>
  <cp:lastModifiedBy>刘义友</cp:lastModifiedBy>
  <dcterms:modified xsi:type="dcterms:W3CDTF">2024-03-19T08:28:43Z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BCD6DCFBA6454FE4B1ADD883888538C5_13</vt:lpwstr>
  </property>
</Properties>
</file>